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E4EA7" w14:textId="77777777" w:rsidR="008B45F5" w:rsidRPr="007D61EF" w:rsidRDefault="008B45F5" w:rsidP="008B45F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19"/>
        <w:tblW w:w="9805" w:type="dxa"/>
        <w:tblLook w:val="04A0" w:firstRow="1" w:lastRow="0" w:firstColumn="1" w:lastColumn="0" w:noHBand="0" w:noVBand="1"/>
      </w:tblPr>
      <w:tblGrid>
        <w:gridCol w:w="2869"/>
        <w:gridCol w:w="6936"/>
      </w:tblGrid>
      <w:tr w:rsidR="008B45F5" w:rsidRPr="002A35CD" w14:paraId="0AB0F389" w14:textId="77777777" w:rsidTr="000F685C">
        <w:tc>
          <w:tcPr>
            <w:tcW w:w="2869" w:type="dxa"/>
            <w:shd w:val="clear" w:color="auto" w:fill="0070C0"/>
          </w:tcPr>
          <w:p w14:paraId="279C15C4" w14:textId="77777777" w:rsidR="008B45F5" w:rsidRPr="0023067D" w:rsidRDefault="008B45F5" w:rsidP="000F685C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Toolkit</w:t>
            </w:r>
          </w:p>
        </w:tc>
        <w:tc>
          <w:tcPr>
            <w:tcW w:w="6936" w:type="dxa"/>
            <w:shd w:val="clear" w:color="auto" w:fill="auto"/>
          </w:tcPr>
          <w:p w14:paraId="29FBC36A" w14:textId="77777777" w:rsidR="008B45F5" w:rsidRPr="002A35CD" w:rsidRDefault="008B45F5" w:rsidP="000F685C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A35CD">
              <w:rPr>
                <w:rFonts w:ascii="Verdana" w:hAnsi="Verdana"/>
                <w:sz w:val="20"/>
                <w:szCs w:val="20"/>
              </w:rPr>
              <w:t>Single Scheme Administration Project (Phase 1)</w:t>
            </w:r>
          </w:p>
          <w:p w14:paraId="3A8490BA" w14:textId="5B1888A3" w:rsidR="008B45F5" w:rsidRPr="0023067D" w:rsidRDefault="00221CC9" w:rsidP="000F685C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Transfer</w:t>
            </w:r>
            <w:r w:rsidR="00A70BB4">
              <w:rPr>
                <w:rFonts w:ascii="Verdana" w:hAnsi="Verdana"/>
                <w:b/>
                <w:sz w:val="20"/>
                <w:szCs w:val="20"/>
              </w:rPr>
              <w:t xml:space="preserve"> Resources</w:t>
            </w:r>
          </w:p>
        </w:tc>
      </w:tr>
      <w:tr w:rsidR="008B45F5" w:rsidRPr="002A35CD" w14:paraId="457BF771" w14:textId="77777777" w:rsidTr="000F685C">
        <w:tc>
          <w:tcPr>
            <w:tcW w:w="2869" w:type="dxa"/>
            <w:shd w:val="clear" w:color="auto" w:fill="0070C0"/>
          </w:tcPr>
          <w:p w14:paraId="417B7894" w14:textId="77777777" w:rsidR="008B45F5" w:rsidRPr="0023067D" w:rsidRDefault="008B45F5" w:rsidP="000F685C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Name</w:t>
            </w:r>
          </w:p>
        </w:tc>
        <w:tc>
          <w:tcPr>
            <w:tcW w:w="6936" w:type="dxa"/>
            <w:shd w:val="clear" w:color="auto" w:fill="auto"/>
          </w:tcPr>
          <w:p w14:paraId="38CDAD3E" w14:textId="08F6A60A" w:rsidR="008B45F5" w:rsidRPr="0023067D" w:rsidRDefault="002C7850" w:rsidP="00221CC9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Template Letter </w:t>
            </w:r>
            <w:r w:rsidR="00A70BB4">
              <w:rPr>
                <w:rFonts w:ascii="Verdana" w:hAnsi="Verdana"/>
                <w:sz w:val="20"/>
                <w:szCs w:val="20"/>
              </w:rPr>
              <w:t>–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81015E">
              <w:rPr>
                <w:rFonts w:ascii="Verdana" w:hAnsi="Verdana"/>
                <w:sz w:val="20"/>
                <w:szCs w:val="20"/>
              </w:rPr>
              <w:t>Transfer Value</w:t>
            </w:r>
            <w:r w:rsidR="0094619E">
              <w:rPr>
                <w:rFonts w:ascii="Verdana" w:hAnsi="Verdana"/>
                <w:sz w:val="20"/>
                <w:szCs w:val="20"/>
              </w:rPr>
              <w:t xml:space="preserve"> Quotation</w:t>
            </w:r>
            <w:r w:rsidR="00A70BB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21CC9">
              <w:rPr>
                <w:rFonts w:ascii="Verdana" w:hAnsi="Verdana"/>
                <w:sz w:val="20"/>
                <w:szCs w:val="20"/>
              </w:rPr>
              <w:t>Template</w:t>
            </w:r>
            <w:r w:rsidR="00A70BB4">
              <w:rPr>
                <w:rFonts w:ascii="Verdana" w:hAnsi="Verdana"/>
                <w:sz w:val="20"/>
                <w:szCs w:val="20"/>
              </w:rPr>
              <w:t xml:space="preserve"> Letter</w:t>
            </w:r>
          </w:p>
        </w:tc>
      </w:tr>
      <w:tr w:rsidR="001E28EC" w:rsidRPr="002A35CD" w14:paraId="3AA41666" w14:textId="77777777" w:rsidTr="000F685C">
        <w:trPr>
          <w:trHeight w:val="262"/>
        </w:trPr>
        <w:tc>
          <w:tcPr>
            <w:tcW w:w="2869" w:type="dxa"/>
            <w:shd w:val="clear" w:color="auto" w:fill="0070C0"/>
          </w:tcPr>
          <w:p w14:paraId="3FD094AD" w14:textId="77777777" w:rsidR="001E28EC" w:rsidRPr="0023067D" w:rsidRDefault="001E28EC" w:rsidP="001E28EC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Reference</w:t>
            </w:r>
          </w:p>
        </w:tc>
        <w:tc>
          <w:tcPr>
            <w:tcW w:w="6936" w:type="dxa"/>
            <w:shd w:val="clear" w:color="auto" w:fill="auto"/>
          </w:tcPr>
          <w:p w14:paraId="3FE47688" w14:textId="6A90D7CA" w:rsidR="001E28EC" w:rsidRPr="0023067D" w:rsidRDefault="001E28EC" w:rsidP="001E28EC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FD6AB5">
              <w:rPr>
                <w:rFonts w:ascii="Verdana" w:hAnsi="Verdana"/>
                <w:sz w:val="20"/>
                <w:szCs w:val="20"/>
              </w:rPr>
              <w:t>SPS.TFR.T</w:t>
            </w:r>
            <w:r>
              <w:rPr>
                <w:rFonts w:ascii="Verdana" w:hAnsi="Verdana"/>
                <w:sz w:val="20"/>
                <w:szCs w:val="20"/>
              </w:rPr>
              <w:t>L</w:t>
            </w:r>
            <w:r w:rsidRPr="00FD6AB5">
              <w:rPr>
                <w:rFonts w:ascii="Verdana" w:hAnsi="Verdana"/>
                <w:sz w:val="20"/>
                <w:szCs w:val="20"/>
              </w:rPr>
              <w:t>.0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="006F1A8A">
              <w:rPr>
                <w:rFonts w:ascii="Verdana" w:hAnsi="Verdana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FD6AB5">
              <w:rPr>
                <w:rFonts w:ascii="Verdana" w:hAnsi="Verdana"/>
                <w:sz w:val="20"/>
                <w:szCs w:val="20"/>
              </w:rPr>
              <w:t>(Phase 1)</w:t>
            </w:r>
          </w:p>
        </w:tc>
      </w:tr>
      <w:tr w:rsidR="008B45F5" w:rsidRPr="002A35CD" w14:paraId="74B40A1F" w14:textId="77777777" w:rsidTr="000F685C">
        <w:trPr>
          <w:trHeight w:val="262"/>
        </w:trPr>
        <w:tc>
          <w:tcPr>
            <w:tcW w:w="2869" w:type="dxa"/>
            <w:shd w:val="clear" w:color="auto" w:fill="0070C0"/>
          </w:tcPr>
          <w:p w14:paraId="43FC1C79" w14:textId="77777777" w:rsidR="008B45F5" w:rsidRPr="0023067D" w:rsidRDefault="008B45F5" w:rsidP="000F685C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6936" w:type="dxa"/>
            <w:shd w:val="clear" w:color="auto" w:fill="auto"/>
          </w:tcPr>
          <w:p w14:paraId="39DD2A7F" w14:textId="79012840" w:rsidR="008B45F5" w:rsidRPr="0023067D" w:rsidRDefault="008B45F5" w:rsidP="00774508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A35CD">
              <w:rPr>
                <w:rFonts w:ascii="Verdana" w:hAnsi="Verdana"/>
                <w:sz w:val="20"/>
                <w:szCs w:val="20"/>
              </w:rPr>
              <w:t xml:space="preserve">This </w:t>
            </w:r>
            <w:r>
              <w:rPr>
                <w:rFonts w:ascii="Verdana" w:hAnsi="Verdana"/>
                <w:sz w:val="20"/>
                <w:szCs w:val="20"/>
              </w:rPr>
              <w:t xml:space="preserve">letter may be used to </w:t>
            </w:r>
            <w:r w:rsidR="00774508">
              <w:rPr>
                <w:rFonts w:ascii="Verdana" w:hAnsi="Verdana"/>
                <w:sz w:val="20"/>
                <w:szCs w:val="20"/>
              </w:rPr>
              <w:t xml:space="preserve">provide information on calculated member purchase limits and the cost to purchase additional retirement benefits in the Single Scheme by way of an external transfer value. </w:t>
            </w:r>
          </w:p>
        </w:tc>
      </w:tr>
      <w:tr w:rsidR="008B45F5" w:rsidRPr="002A35CD" w14:paraId="47060966" w14:textId="77777777" w:rsidTr="000F685C">
        <w:trPr>
          <w:trHeight w:val="262"/>
        </w:trPr>
        <w:tc>
          <w:tcPr>
            <w:tcW w:w="2869" w:type="dxa"/>
            <w:shd w:val="clear" w:color="auto" w:fill="0070C0"/>
          </w:tcPr>
          <w:p w14:paraId="39F54C1C" w14:textId="77777777" w:rsidR="008B45F5" w:rsidRPr="0023067D" w:rsidRDefault="008B45F5" w:rsidP="000F685C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Version  </w:t>
            </w:r>
          </w:p>
        </w:tc>
        <w:tc>
          <w:tcPr>
            <w:tcW w:w="6936" w:type="dxa"/>
            <w:shd w:val="clear" w:color="auto" w:fill="auto"/>
          </w:tcPr>
          <w:p w14:paraId="1275A9F6" w14:textId="3C311226" w:rsidR="008B45F5" w:rsidRPr="0023067D" w:rsidRDefault="00315378" w:rsidP="000F685C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V1</w:t>
            </w:r>
            <w:r w:rsidR="00B46D93">
              <w:rPr>
                <w:rFonts w:ascii="Verdana" w:hAnsi="Verdana"/>
                <w:sz w:val="20"/>
                <w:szCs w:val="20"/>
              </w:rPr>
              <w:t>.0</w:t>
            </w:r>
          </w:p>
        </w:tc>
      </w:tr>
    </w:tbl>
    <w:p w14:paraId="4DA36F63" w14:textId="77777777" w:rsidR="008B45F5" w:rsidRDefault="008B45F5" w:rsidP="008B45F5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1F500EF" w14:textId="77777777" w:rsidR="008B45F5" w:rsidRPr="00CF1677" w:rsidRDefault="008B45F5" w:rsidP="008B45F5">
      <w:pPr>
        <w:spacing w:after="0" w:line="23" w:lineRule="atLeast"/>
        <w:jc w:val="center"/>
        <w:rPr>
          <w:rFonts w:ascii="Verdana" w:hAnsi="Verdana"/>
          <w:sz w:val="20"/>
          <w:szCs w:val="20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8B45F5" w:rsidRPr="00CF1677" w14:paraId="488772A7" w14:textId="77777777" w:rsidTr="000F685C">
        <w:tc>
          <w:tcPr>
            <w:tcW w:w="9715" w:type="dxa"/>
          </w:tcPr>
          <w:p w14:paraId="7F318DBD" w14:textId="77777777" w:rsidR="008B45F5" w:rsidRPr="00CF1677" w:rsidRDefault="008B45F5" w:rsidP="000F685C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2B177F5A" w14:textId="37CAB189" w:rsidR="008B45F5" w:rsidRPr="00CF1677" w:rsidRDefault="008B45F5" w:rsidP="000F685C">
            <w:pPr>
              <w:spacing w:line="23" w:lineRule="atLeast"/>
              <w:rPr>
                <w:rStyle w:val="Hyperlink"/>
                <w:rFonts w:ascii="Verdana" w:hAnsi="Verdana"/>
                <w:sz w:val="20"/>
                <w:szCs w:val="20"/>
              </w:rPr>
            </w:pPr>
            <w:r w:rsidRPr="00CF1677">
              <w:rPr>
                <w:rFonts w:ascii="Verdana" w:hAnsi="Verdana"/>
                <w:b/>
                <w:sz w:val="20"/>
                <w:szCs w:val="20"/>
              </w:rPr>
              <w:t xml:space="preserve">PLEASE NOTE: </w:t>
            </w:r>
            <w:r w:rsidRPr="00CF1677">
              <w:rPr>
                <w:rFonts w:ascii="Verdana" w:hAnsi="Verdana"/>
                <w:sz w:val="20"/>
                <w:szCs w:val="20"/>
              </w:rPr>
              <w:t>Administrators</w:t>
            </w:r>
            <w:r w:rsidRPr="00CF167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F1677">
              <w:rPr>
                <w:rFonts w:ascii="Verdana" w:hAnsi="Verdana"/>
                <w:sz w:val="20"/>
                <w:szCs w:val="20"/>
              </w:rPr>
              <w:t>may access</w:t>
            </w:r>
            <w:r w:rsidRPr="00CF167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F1677">
              <w:rPr>
                <w:rFonts w:ascii="Verdana" w:hAnsi="Verdana"/>
                <w:sz w:val="20"/>
                <w:szCs w:val="20"/>
              </w:rPr>
              <w:t xml:space="preserve">legislation, Circulars or Letters to Personnel Officers noted in this Procedure by accessing the Circulars &amp; Legislation Section of the Single Scheme Website at </w:t>
            </w:r>
            <w:hyperlink r:id="rId13" w:history="1">
              <w:r w:rsidRPr="00CF1677">
                <w:rPr>
                  <w:rStyle w:val="Hyperlink"/>
                  <w:rFonts w:ascii="Verdana" w:hAnsi="Verdana"/>
                  <w:sz w:val="20"/>
                  <w:szCs w:val="20"/>
                </w:rPr>
                <w:t>www.singlepensionscheme.</w:t>
              </w:r>
              <w:r w:rsidR="00561132">
                <w:rPr>
                  <w:rStyle w:val="Hyperlink"/>
                  <w:rFonts w:ascii="Verdana" w:hAnsi="Verdana"/>
                  <w:sz w:val="20"/>
                  <w:szCs w:val="20"/>
                </w:rPr>
                <w:t>gov.</w:t>
              </w:r>
              <w:r w:rsidRPr="00CF1677">
                <w:rPr>
                  <w:rStyle w:val="Hyperlink"/>
                  <w:rFonts w:ascii="Verdana" w:hAnsi="Verdana"/>
                  <w:sz w:val="20"/>
                  <w:szCs w:val="20"/>
                </w:rPr>
                <w:t>ie/circulars</w:t>
              </w:r>
            </w:hyperlink>
          </w:p>
          <w:p w14:paraId="3F7D648E" w14:textId="77777777" w:rsidR="008B45F5" w:rsidRPr="00CF1677" w:rsidRDefault="008B45F5" w:rsidP="000F685C">
            <w:pPr>
              <w:spacing w:line="23" w:lineRule="atLeast"/>
              <w:rPr>
                <w:rFonts w:ascii="Verdana" w:hAnsi="Verdana"/>
                <w:color w:val="0563C1" w:themeColor="hyperlink"/>
                <w:sz w:val="20"/>
                <w:szCs w:val="20"/>
                <w:u w:val="single"/>
              </w:rPr>
            </w:pPr>
          </w:p>
        </w:tc>
      </w:tr>
    </w:tbl>
    <w:p w14:paraId="0F464D0F" w14:textId="77777777" w:rsidR="008B45F5" w:rsidRPr="00CF1677" w:rsidRDefault="008B45F5" w:rsidP="008B45F5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1706EA81" w14:textId="77777777" w:rsidR="008B45F5" w:rsidRPr="00CF1677" w:rsidRDefault="008B45F5" w:rsidP="008B45F5">
      <w:pPr>
        <w:spacing w:after="0" w:line="23" w:lineRule="atLeast"/>
        <w:rPr>
          <w:rFonts w:ascii="Verdana" w:hAnsi="Verdana" w:cs="Arial"/>
          <w:b/>
          <w:bCs/>
          <w:sz w:val="20"/>
          <w:szCs w:val="20"/>
        </w:rPr>
      </w:pPr>
      <w:r w:rsidRPr="00CF1677">
        <w:rPr>
          <w:rFonts w:ascii="Verdana" w:hAnsi="Verdana" w:cs="Arial"/>
          <w:b/>
          <w:bCs/>
          <w:sz w:val="20"/>
          <w:szCs w:val="20"/>
        </w:rPr>
        <w:br w:type="page"/>
      </w:r>
    </w:p>
    <w:p w14:paraId="0007894A" w14:textId="77777777" w:rsidR="009E7DD8" w:rsidRPr="00CF1677" w:rsidRDefault="009E7DD8" w:rsidP="009E7DD8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CF1677">
        <w:rPr>
          <w:rFonts w:ascii="Verdana" w:hAnsi="Verdana"/>
          <w:b/>
          <w:sz w:val="20"/>
          <w:szCs w:val="20"/>
        </w:rPr>
        <w:lastRenderedPageBreak/>
        <w:t xml:space="preserve">Strictly Private &amp; Confidential </w:t>
      </w:r>
    </w:p>
    <w:p w14:paraId="3C2A9D98" w14:textId="77777777" w:rsidR="009E7DD8" w:rsidRPr="00CF1677" w:rsidRDefault="009E7DD8" w:rsidP="009E7DD8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CF1677">
        <w:rPr>
          <w:rFonts w:ascii="Verdana" w:hAnsi="Verdana"/>
          <w:color w:val="0070C0"/>
          <w:sz w:val="20"/>
          <w:szCs w:val="20"/>
        </w:rPr>
        <w:t>&lt;&lt;Title&gt;&gt; &lt;&lt;Forename&gt;&gt; &lt;&lt;Surname&gt;&gt;</w:t>
      </w:r>
    </w:p>
    <w:p w14:paraId="49ECB586" w14:textId="77777777" w:rsidR="009E7DD8" w:rsidRPr="00CF1677" w:rsidRDefault="009E7DD8" w:rsidP="009E7DD8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CF1677">
        <w:rPr>
          <w:rFonts w:ascii="Verdana" w:hAnsi="Verdana"/>
          <w:color w:val="0070C0"/>
          <w:sz w:val="20"/>
          <w:szCs w:val="20"/>
        </w:rPr>
        <w:t xml:space="preserve">&lt;&lt;Home Address 1&gt;&gt; </w:t>
      </w:r>
    </w:p>
    <w:p w14:paraId="18FCACF9" w14:textId="77777777" w:rsidR="009E7DD8" w:rsidRPr="00CF1677" w:rsidRDefault="009E7DD8" w:rsidP="009E7DD8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CF1677">
        <w:rPr>
          <w:rFonts w:ascii="Verdana" w:hAnsi="Verdana"/>
          <w:color w:val="0070C0"/>
          <w:sz w:val="20"/>
          <w:szCs w:val="20"/>
        </w:rPr>
        <w:t>&lt;&lt;Home Address 2&gt;&gt;</w:t>
      </w:r>
    </w:p>
    <w:p w14:paraId="30849763" w14:textId="77777777" w:rsidR="009E7DD8" w:rsidRPr="00CF1677" w:rsidRDefault="009E7DD8" w:rsidP="009E7DD8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CF1677">
        <w:rPr>
          <w:rFonts w:ascii="Verdana" w:hAnsi="Verdana"/>
          <w:color w:val="0070C0"/>
          <w:sz w:val="20"/>
          <w:szCs w:val="20"/>
        </w:rPr>
        <w:t>&lt;&lt;Home Address 3 &gt;&gt;</w:t>
      </w:r>
    </w:p>
    <w:p w14:paraId="69B07D04" w14:textId="77777777" w:rsidR="009E7DD8" w:rsidRPr="00CF1677" w:rsidRDefault="009E7DD8" w:rsidP="009E7DD8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7B0182BB" w14:textId="77777777" w:rsidR="009E7DD8" w:rsidRPr="00CF1677" w:rsidRDefault="009E7DD8" w:rsidP="009E7DD8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proofErr w:type="gramStart"/>
      <w:r w:rsidRPr="00CF1677">
        <w:rPr>
          <w:rFonts w:ascii="Verdana" w:hAnsi="Verdana"/>
          <w:color w:val="0070C0"/>
          <w:sz w:val="20"/>
          <w:szCs w:val="20"/>
        </w:rPr>
        <w:t>dd/mm/yyyy</w:t>
      </w:r>
      <w:proofErr w:type="gramEnd"/>
    </w:p>
    <w:p w14:paraId="04013C52" w14:textId="77777777" w:rsidR="009E7DD8" w:rsidRPr="00CF1677" w:rsidRDefault="009E7DD8" w:rsidP="009E7DD8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50DD91AB" w14:textId="40FAC6DD" w:rsidR="008D2B0A" w:rsidRDefault="009E7DD8" w:rsidP="009E7DD8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CF1677">
        <w:rPr>
          <w:rFonts w:ascii="Verdana" w:hAnsi="Verdana"/>
          <w:b/>
          <w:sz w:val="20"/>
          <w:szCs w:val="20"/>
        </w:rPr>
        <w:t>Re:</w:t>
      </w:r>
      <w:r w:rsidRPr="00CF1677">
        <w:rPr>
          <w:rFonts w:ascii="Verdana" w:hAnsi="Verdana"/>
          <w:b/>
          <w:sz w:val="20"/>
          <w:szCs w:val="20"/>
        </w:rPr>
        <w:tab/>
        <w:t>Single Public Service Pension Scheme</w:t>
      </w:r>
      <w:r w:rsidR="0081015E">
        <w:rPr>
          <w:rFonts w:ascii="Verdana" w:hAnsi="Verdana"/>
          <w:b/>
          <w:sz w:val="20"/>
          <w:szCs w:val="20"/>
        </w:rPr>
        <w:t xml:space="preserve"> Transfer Value</w:t>
      </w:r>
      <w:r w:rsidR="008D2B0A">
        <w:rPr>
          <w:rFonts w:ascii="Verdana" w:hAnsi="Verdana"/>
          <w:b/>
          <w:sz w:val="20"/>
          <w:szCs w:val="20"/>
        </w:rPr>
        <w:t xml:space="preserve"> Quotation</w:t>
      </w:r>
    </w:p>
    <w:p w14:paraId="3CF3D9F1" w14:textId="41794107" w:rsidR="009E7DD8" w:rsidRPr="008D2B0A" w:rsidRDefault="009E7DD8" w:rsidP="008D2B0A">
      <w:pPr>
        <w:spacing w:after="0" w:line="23" w:lineRule="atLeast"/>
        <w:ind w:left="720"/>
        <w:rPr>
          <w:rFonts w:ascii="Verdana" w:hAnsi="Verdana"/>
          <w:b/>
          <w:color w:val="0070C0"/>
          <w:sz w:val="20"/>
          <w:szCs w:val="20"/>
        </w:rPr>
      </w:pPr>
      <w:r w:rsidRPr="0065647F">
        <w:rPr>
          <w:rFonts w:ascii="Verdana" w:hAnsi="Verdana"/>
          <w:b/>
          <w:color w:val="000000" w:themeColor="text1"/>
          <w:sz w:val="20"/>
          <w:szCs w:val="20"/>
        </w:rPr>
        <w:t xml:space="preserve">Member: </w:t>
      </w:r>
      <w:r w:rsidRPr="00CD1FB4">
        <w:rPr>
          <w:rFonts w:ascii="Verdana" w:hAnsi="Verdana"/>
          <w:b/>
          <w:color w:val="0070C0"/>
          <w:sz w:val="20"/>
          <w:szCs w:val="20"/>
        </w:rPr>
        <w:t>&lt;&lt;Member name</w:t>
      </w:r>
      <w:r w:rsidR="008D2B0A">
        <w:rPr>
          <w:rFonts w:ascii="Verdana" w:hAnsi="Verdana"/>
          <w:b/>
          <w:color w:val="0070C0"/>
          <w:sz w:val="20"/>
          <w:szCs w:val="20"/>
        </w:rPr>
        <w:t>&gt;&gt;</w:t>
      </w:r>
    </w:p>
    <w:p w14:paraId="71FCD887" w14:textId="77777777" w:rsidR="009E7DD8" w:rsidRPr="00CF1677" w:rsidRDefault="009E7DD8" w:rsidP="009E7DD8">
      <w:pPr>
        <w:spacing w:after="0" w:line="23" w:lineRule="atLeast"/>
        <w:rPr>
          <w:rFonts w:ascii="Verdana" w:hAnsi="Verdana"/>
          <w:sz w:val="20"/>
          <w:szCs w:val="20"/>
        </w:rPr>
      </w:pPr>
      <w:r w:rsidRPr="00CF1677">
        <w:rPr>
          <w:rFonts w:ascii="Verdana" w:hAnsi="Verdana"/>
          <w:sz w:val="20"/>
          <w:szCs w:val="20"/>
        </w:rPr>
        <w:tab/>
      </w:r>
    </w:p>
    <w:p w14:paraId="3361DDAE" w14:textId="77777777" w:rsidR="009E7DD8" w:rsidRPr="00CF1677" w:rsidRDefault="009E7DD8" w:rsidP="009E7DD8">
      <w:pPr>
        <w:spacing w:after="0" w:line="23" w:lineRule="atLeast"/>
        <w:rPr>
          <w:rFonts w:ascii="Verdana" w:hAnsi="Verdana"/>
          <w:sz w:val="20"/>
          <w:szCs w:val="20"/>
        </w:rPr>
      </w:pPr>
      <w:r w:rsidRPr="00CF1677">
        <w:rPr>
          <w:rFonts w:ascii="Verdana" w:hAnsi="Verdana"/>
          <w:sz w:val="20"/>
          <w:szCs w:val="20"/>
        </w:rPr>
        <w:t xml:space="preserve">Dear </w:t>
      </w:r>
      <w:r w:rsidRPr="00CF1677">
        <w:rPr>
          <w:rFonts w:ascii="Verdana" w:hAnsi="Verdana"/>
          <w:color w:val="0070C0"/>
          <w:sz w:val="20"/>
          <w:szCs w:val="20"/>
        </w:rPr>
        <w:t>&lt;&lt;Title&gt;&gt; &lt;&lt;Surname&gt;&gt;</w:t>
      </w:r>
    </w:p>
    <w:p w14:paraId="4C821A67" w14:textId="77777777" w:rsidR="009E7DD8" w:rsidRPr="00CF1677" w:rsidRDefault="009E7DD8" w:rsidP="009E7DD8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60F49610" w14:textId="73F4AFD4" w:rsidR="0013722D" w:rsidRDefault="009E7DD8" w:rsidP="009E7DD8">
      <w:pPr>
        <w:spacing w:after="0" w:line="23" w:lineRule="atLeast"/>
        <w:rPr>
          <w:rFonts w:ascii="Verdana" w:hAnsi="Verdana"/>
          <w:sz w:val="20"/>
          <w:szCs w:val="20"/>
        </w:rPr>
      </w:pPr>
      <w:r w:rsidRPr="00CF1677">
        <w:rPr>
          <w:rFonts w:ascii="Verdana" w:hAnsi="Verdana"/>
          <w:sz w:val="20"/>
          <w:szCs w:val="20"/>
        </w:rPr>
        <w:t xml:space="preserve">I </w:t>
      </w:r>
      <w:r>
        <w:rPr>
          <w:rFonts w:ascii="Verdana" w:hAnsi="Verdana"/>
          <w:sz w:val="20"/>
          <w:szCs w:val="20"/>
        </w:rPr>
        <w:t>acknowledge receipt o</w:t>
      </w:r>
      <w:r w:rsidR="0013722D">
        <w:rPr>
          <w:rFonts w:ascii="Verdana" w:hAnsi="Verdana"/>
          <w:sz w:val="20"/>
          <w:szCs w:val="20"/>
        </w:rPr>
        <w:t xml:space="preserve">f your </w:t>
      </w:r>
      <w:r w:rsidR="0013722D" w:rsidRPr="0013722D">
        <w:rPr>
          <w:rFonts w:ascii="Verdana" w:hAnsi="Verdana"/>
          <w:i/>
          <w:sz w:val="20"/>
          <w:szCs w:val="20"/>
        </w:rPr>
        <w:t>Ex</w:t>
      </w:r>
      <w:r w:rsidR="00FC2330" w:rsidRPr="0013722D">
        <w:rPr>
          <w:rFonts w:ascii="Verdana" w:hAnsi="Verdana"/>
          <w:i/>
          <w:sz w:val="20"/>
          <w:szCs w:val="20"/>
        </w:rPr>
        <w:t xml:space="preserve">pression of </w:t>
      </w:r>
      <w:r w:rsidR="0013722D" w:rsidRPr="0013722D">
        <w:rPr>
          <w:rFonts w:ascii="Verdana" w:hAnsi="Verdana"/>
          <w:i/>
          <w:sz w:val="20"/>
          <w:szCs w:val="20"/>
        </w:rPr>
        <w:t>I</w:t>
      </w:r>
      <w:r w:rsidR="00FC2330" w:rsidRPr="0013722D">
        <w:rPr>
          <w:rFonts w:ascii="Verdana" w:hAnsi="Verdana"/>
          <w:i/>
          <w:sz w:val="20"/>
          <w:szCs w:val="20"/>
        </w:rPr>
        <w:t>nterest</w:t>
      </w:r>
      <w:r w:rsidR="0013722D" w:rsidRPr="0013722D">
        <w:rPr>
          <w:rFonts w:ascii="Verdana" w:hAnsi="Verdana"/>
          <w:i/>
          <w:sz w:val="20"/>
          <w:szCs w:val="20"/>
        </w:rPr>
        <w:t xml:space="preserve"> (Transfer) </w:t>
      </w:r>
      <w:r w:rsidR="0013722D">
        <w:rPr>
          <w:rFonts w:ascii="Verdana" w:hAnsi="Verdana"/>
          <w:i/>
          <w:sz w:val="20"/>
          <w:szCs w:val="20"/>
        </w:rPr>
        <w:t>F</w:t>
      </w:r>
      <w:r w:rsidR="0013722D" w:rsidRPr="0013722D">
        <w:rPr>
          <w:rFonts w:ascii="Verdana" w:hAnsi="Verdana"/>
          <w:i/>
          <w:sz w:val="20"/>
          <w:szCs w:val="20"/>
        </w:rPr>
        <w:t>orm</w:t>
      </w:r>
      <w:r w:rsidR="00FC2330">
        <w:rPr>
          <w:rFonts w:ascii="Verdana" w:hAnsi="Verdana"/>
          <w:sz w:val="20"/>
          <w:szCs w:val="20"/>
        </w:rPr>
        <w:t xml:space="preserve"> </w:t>
      </w:r>
      <w:r w:rsidR="00235A01">
        <w:rPr>
          <w:rFonts w:ascii="Verdana" w:hAnsi="Verdana"/>
          <w:sz w:val="20"/>
          <w:szCs w:val="20"/>
        </w:rPr>
        <w:t xml:space="preserve">seeking information on the </w:t>
      </w:r>
      <w:r w:rsidR="0013722D">
        <w:rPr>
          <w:rFonts w:ascii="Verdana" w:hAnsi="Verdana"/>
          <w:sz w:val="20"/>
          <w:szCs w:val="20"/>
        </w:rPr>
        <w:t>value</w:t>
      </w:r>
      <w:r w:rsidR="00235A01">
        <w:rPr>
          <w:rFonts w:ascii="Verdana" w:hAnsi="Verdana"/>
          <w:sz w:val="20"/>
          <w:szCs w:val="20"/>
        </w:rPr>
        <w:t xml:space="preserve"> of purchasing additional retirement benefits in the Single Public Service Pension Scheme by way of transferring-in benefits held by you with </w:t>
      </w:r>
      <w:r w:rsidR="00235A01" w:rsidRPr="00235A01">
        <w:rPr>
          <w:rFonts w:ascii="Verdana" w:hAnsi="Verdana"/>
          <w:color w:val="0070C0"/>
          <w:sz w:val="20"/>
          <w:szCs w:val="20"/>
        </w:rPr>
        <w:t>&lt;&lt;insert 3</w:t>
      </w:r>
      <w:r w:rsidR="00235A01" w:rsidRPr="00235A01">
        <w:rPr>
          <w:rFonts w:ascii="Verdana" w:hAnsi="Verdana"/>
          <w:color w:val="0070C0"/>
          <w:sz w:val="20"/>
          <w:szCs w:val="20"/>
          <w:vertAlign w:val="superscript"/>
        </w:rPr>
        <w:t>rd</w:t>
      </w:r>
      <w:r w:rsidR="00235A01" w:rsidRPr="00235A01">
        <w:rPr>
          <w:rFonts w:ascii="Verdana" w:hAnsi="Verdana"/>
          <w:color w:val="0070C0"/>
          <w:sz w:val="20"/>
          <w:szCs w:val="20"/>
        </w:rPr>
        <w:t xml:space="preserve"> party provider name&gt;&gt;</w:t>
      </w:r>
      <w:r w:rsidR="0013722D" w:rsidRPr="0013722D">
        <w:rPr>
          <w:rFonts w:ascii="Verdana" w:hAnsi="Verdana"/>
          <w:sz w:val="20"/>
          <w:szCs w:val="20"/>
        </w:rPr>
        <w:t xml:space="preserve">. </w:t>
      </w:r>
    </w:p>
    <w:p w14:paraId="50641ABE" w14:textId="77777777" w:rsidR="0013722D" w:rsidRDefault="0013722D" w:rsidP="009E7DD8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2B62D86C" w14:textId="77777777" w:rsidR="0013722D" w:rsidRDefault="0013722D" w:rsidP="009E7DD8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Please note:</w:t>
      </w:r>
    </w:p>
    <w:p w14:paraId="4D478582" w14:textId="77777777" w:rsidR="0013722D" w:rsidRDefault="0013722D" w:rsidP="009E7DD8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363BB21E" w14:textId="0921E058" w:rsidR="009E7DD8" w:rsidRPr="0013722D" w:rsidRDefault="0013722D" w:rsidP="00134595">
      <w:pPr>
        <w:pStyle w:val="ListParagraph"/>
        <w:numPr>
          <w:ilvl w:val="0"/>
          <w:numId w:val="3"/>
        </w:numPr>
        <w:spacing w:after="0" w:line="23" w:lineRule="atLeast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Additional retirement benefits in the Single Scheme are purchased by way of a “transfer value” provided by the Administrator/Trustee of the transferring, Revenue approved external pension product. </w:t>
      </w:r>
      <w:r w:rsidRPr="0013722D">
        <w:rPr>
          <w:rFonts w:ascii="Verdana" w:hAnsi="Verdana"/>
          <w:sz w:val="20"/>
          <w:szCs w:val="20"/>
        </w:rPr>
        <w:t xml:space="preserve">The “transfer limits” and “costs” below are based on a transfer value provided by </w:t>
      </w:r>
      <w:r w:rsidRPr="0013722D">
        <w:rPr>
          <w:rFonts w:ascii="Verdana" w:hAnsi="Verdana"/>
          <w:color w:val="0070C0"/>
          <w:sz w:val="20"/>
          <w:szCs w:val="20"/>
        </w:rPr>
        <w:t>&lt;insert 3</w:t>
      </w:r>
      <w:r w:rsidRPr="0013722D">
        <w:rPr>
          <w:rFonts w:ascii="Verdana" w:hAnsi="Verdana"/>
          <w:color w:val="0070C0"/>
          <w:sz w:val="20"/>
          <w:szCs w:val="20"/>
          <w:vertAlign w:val="superscript"/>
        </w:rPr>
        <w:t>rd</w:t>
      </w:r>
      <w:r w:rsidRPr="0013722D">
        <w:rPr>
          <w:rFonts w:ascii="Verdana" w:hAnsi="Verdana"/>
          <w:color w:val="0070C0"/>
          <w:sz w:val="20"/>
          <w:szCs w:val="20"/>
        </w:rPr>
        <w:t xml:space="preserve"> party provider name&gt;&gt; i</w:t>
      </w:r>
      <w:r w:rsidRPr="0013722D">
        <w:rPr>
          <w:rFonts w:ascii="Verdana" w:hAnsi="Verdana"/>
          <w:sz w:val="20"/>
          <w:szCs w:val="20"/>
        </w:rPr>
        <w:t>n the amount of</w:t>
      </w:r>
      <w:r w:rsidRPr="0013722D">
        <w:rPr>
          <w:rFonts w:ascii="Verdana" w:hAnsi="Verdana"/>
          <w:color w:val="0070C0"/>
          <w:sz w:val="20"/>
          <w:szCs w:val="20"/>
        </w:rPr>
        <w:t xml:space="preserve"> €0.00</w:t>
      </w:r>
    </w:p>
    <w:p w14:paraId="2B2CF46E" w14:textId="77777777" w:rsidR="009E7DD8" w:rsidRPr="00CF1677" w:rsidRDefault="009E7DD8" w:rsidP="00134595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200390B2" w14:textId="2F15E84D" w:rsidR="0013722D" w:rsidRDefault="0013722D" w:rsidP="00134595">
      <w:pPr>
        <w:pStyle w:val="ListParagraph"/>
        <w:numPr>
          <w:ilvl w:val="0"/>
          <w:numId w:val="3"/>
        </w:numPr>
        <w:spacing w:after="0" w:line="23" w:lineRule="atLeast"/>
        <w:ind w:left="360"/>
        <w:rPr>
          <w:rFonts w:ascii="Verdana" w:hAnsi="Verdana"/>
          <w:iCs/>
          <w:sz w:val="20"/>
          <w:szCs w:val="20"/>
        </w:rPr>
      </w:pPr>
      <w:r w:rsidRPr="0013722D">
        <w:rPr>
          <w:rFonts w:ascii="Verdana" w:hAnsi="Verdana"/>
          <w:iCs/>
          <w:sz w:val="20"/>
          <w:szCs w:val="20"/>
        </w:rPr>
        <w:t>T</w:t>
      </w:r>
      <w:r w:rsidR="00235A01" w:rsidRPr="0013722D">
        <w:rPr>
          <w:rFonts w:ascii="Verdana" w:hAnsi="Verdana"/>
          <w:iCs/>
          <w:sz w:val="20"/>
          <w:szCs w:val="20"/>
        </w:rPr>
        <w:t>he cost</w:t>
      </w:r>
      <w:r>
        <w:rPr>
          <w:rFonts w:ascii="Verdana" w:hAnsi="Verdana"/>
          <w:iCs/>
          <w:sz w:val="20"/>
          <w:szCs w:val="20"/>
        </w:rPr>
        <w:t xml:space="preserve"> to purchase additional retirement benefits below (pension and lump sum referable amounts)</w:t>
      </w:r>
      <w:r w:rsidR="009E187D">
        <w:rPr>
          <w:rFonts w:ascii="Verdana" w:hAnsi="Verdana"/>
          <w:iCs/>
          <w:sz w:val="20"/>
          <w:szCs w:val="20"/>
        </w:rPr>
        <w:t xml:space="preserve"> is</w:t>
      </w:r>
      <w:r w:rsidR="00235A01" w:rsidRPr="0013722D">
        <w:rPr>
          <w:rFonts w:ascii="Verdana" w:hAnsi="Verdana"/>
          <w:iCs/>
          <w:sz w:val="20"/>
          <w:szCs w:val="20"/>
        </w:rPr>
        <w:t xml:space="preserve"> an estimate only and may be subject to change </w:t>
      </w:r>
      <w:r w:rsidR="009E187D">
        <w:rPr>
          <w:rFonts w:ascii="Verdana" w:hAnsi="Verdana"/>
          <w:iCs/>
          <w:sz w:val="20"/>
          <w:szCs w:val="20"/>
        </w:rPr>
        <w:t>if</w:t>
      </w:r>
      <w:r w:rsidR="00235A01" w:rsidRPr="0013722D">
        <w:rPr>
          <w:rFonts w:ascii="Verdana" w:hAnsi="Verdana"/>
          <w:iCs/>
          <w:sz w:val="20"/>
          <w:szCs w:val="20"/>
        </w:rPr>
        <w:t xml:space="preserve"> the transfer value </w:t>
      </w:r>
      <w:r w:rsidRPr="0013722D">
        <w:rPr>
          <w:rFonts w:ascii="Verdana" w:hAnsi="Verdana"/>
          <w:iCs/>
          <w:sz w:val="20"/>
          <w:szCs w:val="20"/>
        </w:rPr>
        <w:t>quoted</w:t>
      </w:r>
      <w:r w:rsidR="00235A01" w:rsidRPr="0013722D">
        <w:rPr>
          <w:rFonts w:ascii="Verdana" w:hAnsi="Verdana"/>
          <w:iCs/>
          <w:sz w:val="20"/>
          <w:szCs w:val="20"/>
        </w:rPr>
        <w:t xml:space="preserve"> increases or decreases</w:t>
      </w:r>
      <w:r w:rsidRPr="0013722D">
        <w:rPr>
          <w:rFonts w:ascii="Verdana" w:hAnsi="Verdana"/>
          <w:iCs/>
          <w:sz w:val="20"/>
          <w:szCs w:val="20"/>
        </w:rPr>
        <w:t>.</w:t>
      </w:r>
      <w:r w:rsidR="00235A01" w:rsidRPr="0013722D">
        <w:rPr>
          <w:rFonts w:ascii="Verdana" w:hAnsi="Verdana"/>
          <w:iCs/>
          <w:sz w:val="20"/>
          <w:szCs w:val="20"/>
        </w:rPr>
        <w:t xml:space="preserve"> Transfer values are subject to change </w:t>
      </w:r>
      <w:r>
        <w:rPr>
          <w:rFonts w:ascii="Verdana" w:hAnsi="Verdana"/>
          <w:iCs/>
          <w:sz w:val="20"/>
          <w:szCs w:val="20"/>
        </w:rPr>
        <w:t xml:space="preserve">and the amount above may not represent the actual transfer value amount at the time you wish to formally proceed with the transfer </w:t>
      </w:r>
    </w:p>
    <w:p w14:paraId="6DEC1DE0" w14:textId="77777777" w:rsidR="0013722D" w:rsidRPr="0013722D" w:rsidRDefault="0013722D" w:rsidP="00134595">
      <w:pPr>
        <w:pStyle w:val="ListParagraph"/>
        <w:ind w:left="360"/>
        <w:rPr>
          <w:rFonts w:ascii="Verdana" w:hAnsi="Verdana"/>
          <w:iCs/>
          <w:sz w:val="20"/>
          <w:szCs w:val="20"/>
        </w:rPr>
      </w:pPr>
    </w:p>
    <w:p w14:paraId="49EF9C79" w14:textId="77777777" w:rsidR="00552251" w:rsidRDefault="00235A01" w:rsidP="00134595">
      <w:pPr>
        <w:pStyle w:val="ListParagraph"/>
        <w:numPr>
          <w:ilvl w:val="0"/>
          <w:numId w:val="3"/>
        </w:numPr>
        <w:spacing w:after="0" w:line="23" w:lineRule="atLeast"/>
        <w:ind w:left="360"/>
        <w:rPr>
          <w:rFonts w:ascii="Verdana" w:hAnsi="Verdana"/>
          <w:iCs/>
          <w:sz w:val="20"/>
          <w:szCs w:val="20"/>
        </w:rPr>
      </w:pPr>
      <w:r w:rsidRPr="0013722D">
        <w:rPr>
          <w:rFonts w:ascii="Verdana" w:hAnsi="Verdana"/>
          <w:iCs/>
          <w:sz w:val="20"/>
          <w:szCs w:val="20"/>
        </w:rPr>
        <w:t xml:space="preserve">The </w:t>
      </w:r>
      <w:r w:rsidR="004D48B4">
        <w:rPr>
          <w:rFonts w:ascii="Verdana" w:hAnsi="Verdana"/>
          <w:iCs/>
          <w:sz w:val="20"/>
          <w:szCs w:val="20"/>
        </w:rPr>
        <w:t>“transfer limits” below</w:t>
      </w:r>
      <w:r w:rsidRPr="0013722D">
        <w:rPr>
          <w:rFonts w:ascii="Verdana" w:hAnsi="Verdana"/>
          <w:iCs/>
          <w:sz w:val="20"/>
          <w:szCs w:val="20"/>
        </w:rPr>
        <w:t xml:space="preserve"> are</w:t>
      </w:r>
      <w:r w:rsidR="00256975">
        <w:rPr>
          <w:rFonts w:ascii="Verdana" w:hAnsi="Verdana"/>
          <w:iCs/>
          <w:sz w:val="20"/>
          <w:szCs w:val="20"/>
        </w:rPr>
        <w:t xml:space="preserve"> calculated</w:t>
      </w:r>
      <w:r w:rsidRPr="0013722D">
        <w:rPr>
          <w:rFonts w:ascii="Verdana" w:hAnsi="Verdana"/>
          <w:iCs/>
          <w:sz w:val="20"/>
          <w:szCs w:val="20"/>
        </w:rPr>
        <w:t xml:space="preserve"> </w:t>
      </w:r>
      <w:r w:rsidR="00256975">
        <w:rPr>
          <w:rFonts w:ascii="Verdana" w:hAnsi="Verdana"/>
          <w:iCs/>
          <w:sz w:val="20"/>
          <w:szCs w:val="20"/>
        </w:rPr>
        <w:t>based on our records and information</w:t>
      </w:r>
      <w:r w:rsidR="002D176F" w:rsidRPr="0013722D">
        <w:rPr>
          <w:rFonts w:ascii="Verdana" w:hAnsi="Verdana"/>
          <w:iCs/>
          <w:sz w:val="20"/>
          <w:szCs w:val="20"/>
        </w:rPr>
        <w:t xml:space="preserve"> </w:t>
      </w:r>
      <w:r w:rsidRPr="0013722D">
        <w:rPr>
          <w:rFonts w:ascii="Verdana" w:hAnsi="Verdana"/>
          <w:iCs/>
          <w:sz w:val="20"/>
          <w:szCs w:val="20"/>
        </w:rPr>
        <w:t>provided</w:t>
      </w:r>
      <w:r w:rsidR="002D176F" w:rsidRPr="0013722D">
        <w:rPr>
          <w:rFonts w:ascii="Verdana" w:hAnsi="Verdana"/>
          <w:iCs/>
          <w:sz w:val="20"/>
          <w:szCs w:val="20"/>
        </w:rPr>
        <w:t xml:space="preserve"> by you </w:t>
      </w:r>
      <w:r w:rsidRPr="0013722D">
        <w:rPr>
          <w:rFonts w:ascii="Verdana" w:hAnsi="Verdana"/>
          <w:iCs/>
          <w:sz w:val="20"/>
          <w:szCs w:val="20"/>
        </w:rPr>
        <w:t xml:space="preserve">and </w:t>
      </w:r>
      <w:r w:rsidR="002D176F" w:rsidRPr="0013722D">
        <w:rPr>
          <w:rFonts w:ascii="Verdana" w:hAnsi="Verdana"/>
          <w:iCs/>
          <w:sz w:val="20"/>
          <w:szCs w:val="20"/>
        </w:rPr>
        <w:t xml:space="preserve">previous </w:t>
      </w:r>
      <w:r w:rsidRPr="0013722D">
        <w:rPr>
          <w:rFonts w:ascii="Verdana" w:hAnsi="Verdana"/>
          <w:iCs/>
          <w:sz w:val="20"/>
          <w:szCs w:val="20"/>
        </w:rPr>
        <w:t xml:space="preserve">Single Scheme </w:t>
      </w:r>
      <w:r w:rsidR="002D176F" w:rsidRPr="0013722D">
        <w:rPr>
          <w:rFonts w:ascii="Verdana" w:hAnsi="Verdana"/>
          <w:iCs/>
          <w:sz w:val="20"/>
          <w:szCs w:val="20"/>
        </w:rPr>
        <w:t>employers</w:t>
      </w:r>
      <w:r w:rsidRPr="0013722D">
        <w:rPr>
          <w:rFonts w:ascii="Verdana" w:hAnsi="Verdana"/>
          <w:iCs/>
          <w:sz w:val="20"/>
          <w:szCs w:val="20"/>
        </w:rPr>
        <w:t xml:space="preserve"> where applicable. </w:t>
      </w:r>
      <w:r w:rsidR="00134595">
        <w:rPr>
          <w:rFonts w:ascii="Verdana" w:hAnsi="Verdana"/>
          <w:iCs/>
          <w:sz w:val="20"/>
          <w:szCs w:val="20"/>
        </w:rPr>
        <w:t xml:space="preserve">Please see below information provided to us in respect of previous pensionable Single Scheme employments where contributions have not been refunded to you: </w:t>
      </w:r>
    </w:p>
    <w:p w14:paraId="41217BBE" w14:textId="77777777" w:rsidR="00134595" w:rsidRPr="00134595" w:rsidRDefault="00134595" w:rsidP="00134595">
      <w:pPr>
        <w:pStyle w:val="ListParagraph"/>
        <w:rPr>
          <w:rFonts w:ascii="Verdana" w:hAnsi="Verdana"/>
          <w:iCs/>
          <w:sz w:val="20"/>
          <w:szCs w:val="20"/>
        </w:rPr>
      </w:pPr>
    </w:p>
    <w:tbl>
      <w:tblPr>
        <w:tblStyle w:val="TableGrid"/>
        <w:tblW w:w="99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93"/>
        <w:gridCol w:w="2212"/>
        <w:gridCol w:w="2442"/>
        <w:gridCol w:w="1748"/>
      </w:tblGrid>
      <w:tr w:rsidR="00134595" w:rsidRPr="00D34DA9" w14:paraId="7B6C3548" w14:textId="77777777" w:rsidTr="00134595">
        <w:trPr>
          <w:trHeight w:val="597"/>
        </w:trPr>
        <w:tc>
          <w:tcPr>
            <w:tcW w:w="3593" w:type="dxa"/>
            <w:vMerge w:val="restart"/>
            <w:vAlign w:val="center"/>
          </w:tcPr>
          <w:p w14:paraId="6C53936D" w14:textId="77777777" w:rsidR="00134595" w:rsidRPr="00D34DA9" w:rsidRDefault="00134595" w:rsidP="00301ABF">
            <w:pPr>
              <w:spacing w:line="23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4DA9">
              <w:rPr>
                <w:rFonts w:ascii="Verdana" w:hAnsi="Verdana"/>
                <w:b/>
                <w:sz w:val="20"/>
                <w:szCs w:val="20"/>
              </w:rPr>
              <w:t>Single Scheme Employer</w:t>
            </w:r>
          </w:p>
        </w:tc>
        <w:tc>
          <w:tcPr>
            <w:tcW w:w="4654" w:type="dxa"/>
            <w:gridSpan w:val="2"/>
            <w:vAlign w:val="center"/>
          </w:tcPr>
          <w:p w14:paraId="5D4BBFA5" w14:textId="77777777" w:rsidR="00134595" w:rsidRPr="00D34DA9" w:rsidRDefault="00134595" w:rsidP="00301ABF">
            <w:pPr>
              <w:spacing w:line="23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4DA9">
              <w:rPr>
                <w:rFonts w:ascii="Verdana" w:hAnsi="Verdana"/>
                <w:b/>
                <w:sz w:val="20"/>
                <w:szCs w:val="20"/>
              </w:rPr>
              <w:t>Period of Single Public Service Pension Scheme Membership*</w:t>
            </w:r>
          </w:p>
          <w:p w14:paraId="3E04114E" w14:textId="77777777" w:rsidR="00134595" w:rsidRPr="00D34DA9" w:rsidRDefault="00134595" w:rsidP="00301ABF">
            <w:pPr>
              <w:spacing w:line="23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48" w:type="dxa"/>
            <w:vMerge w:val="restart"/>
          </w:tcPr>
          <w:p w14:paraId="3D18BA8C" w14:textId="77777777" w:rsidR="00134595" w:rsidRPr="00D34DA9" w:rsidRDefault="00134595" w:rsidP="00301ABF">
            <w:pPr>
              <w:spacing w:line="23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8B96532" w14:textId="77777777" w:rsidR="00134595" w:rsidRPr="00D34DA9" w:rsidRDefault="00134595" w:rsidP="00301ABF">
            <w:pPr>
              <w:spacing w:line="23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4DA9">
              <w:rPr>
                <w:rFonts w:ascii="Verdana" w:hAnsi="Verdana"/>
                <w:b/>
                <w:sz w:val="20"/>
                <w:szCs w:val="20"/>
              </w:rPr>
              <w:t>Accrual category</w:t>
            </w:r>
          </w:p>
        </w:tc>
      </w:tr>
      <w:tr w:rsidR="00134595" w:rsidRPr="00D34DA9" w14:paraId="0D0547CB" w14:textId="77777777" w:rsidTr="00134595">
        <w:trPr>
          <w:trHeight w:val="249"/>
        </w:trPr>
        <w:tc>
          <w:tcPr>
            <w:tcW w:w="3593" w:type="dxa"/>
            <w:vMerge/>
          </w:tcPr>
          <w:p w14:paraId="014510C2" w14:textId="77777777" w:rsidR="00134595" w:rsidRPr="00D34DA9" w:rsidRDefault="00134595" w:rsidP="00301ABF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12" w:type="dxa"/>
          </w:tcPr>
          <w:p w14:paraId="51A090DB" w14:textId="77777777" w:rsidR="00134595" w:rsidRPr="00D34DA9" w:rsidRDefault="00134595" w:rsidP="00301ABF">
            <w:pPr>
              <w:spacing w:line="23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4DA9">
              <w:rPr>
                <w:rFonts w:ascii="Verdana" w:hAnsi="Verdana"/>
                <w:b/>
                <w:sz w:val="20"/>
                <w:szCs w:val="20"/>
              </w:rPr>
              <w:t xml:space="preserve">From                     </w:t>
            </w:r>
          </w:p>
        </w:tc>
        <w:tc>
          <w:tcPr>
            <w:tcW w:w="2441" w:type="dxa"/>
          </w:tcPr>
          <w:p w14:paraId="17E20C1C" w14:textId="77777777" w:rsidR="00134595" w:rsidRPr="00D34DA9" w:rsidRDefault="00134595" w:rsidP="00301ABF">
            <w:pPr>
              <w:spacing w:line="23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4DA9">
              <w:rPr>
                <w:rFonts w:ascii="Verdana" w:hAnsi="Verdana"/>
                <w:b/>
                <w:sz w:val="20"/>
                <w:szCs w:val="20"/>
              </w:rPr>
              <w:t>To</w:t>
            </w:r>
          </w:p>
        </w:tc>
        <w:tc>
          <w:tcPr>
            <w:tcW w:w="1748" w:type="dxa"/>
            <w:vMerge/>
          </w:tcPr>
          <w:p w14:paraId="55F7585A" w14:textId="77777777" w:rsidR="00134595" w:rsidRPr="00D34DA9" w:rsidRDefault="00134595" w:rsidP="00301ABF">
            <w:pPr>
              <w:spacing w:line="23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34595" w:rsidRPr="00D34DA9" w14:paraId="07228001" w14:textId="77777777" w:rsidTr="00134595">
        <w:trPr>
          <w:trHeight w:val="170"/>
        </w:trPr>
        <w:tc>
          <w:tcPr>
            <w:tcW w:w="3593" w:type="dxa"/>
          </w:tcPr>
          <w:p w14:paraId="1E9FFB15" w14:textId="77777777" w:rsidR="00134595" w:rsidRPr="00D34DA9" w:rsidRDefault="00134595" w:rsidP="00301ABF">
            <w:pPr>
              <w:spacing w:line="23" w:lineRule="atLeast"/>
              <w:rPr>
                <w:rFonts w:ascii="Verdana" w:hAnsi="Verdana"/>
                <w:color w:val="0070C0"/>
                <w:sz w:val="20"/>
                <w:szCs w:val="20"/>
              </w:rPr>
            </w:pPr>
            <w:r w:rsidRPr="00D34DA9">
              <w:rPr>
                <w:rFonts w:ascii="Verdana" w:hAnsi="Verdana"/>
                <w:color w:val="0070C0"/>
                <w:sz w:val="20"/>
                <w:szCs w:val="20"/>
              </w:rPr>
              <w:t>Current Employer</w:t>
            </w:r>
          </w:p>
        </w:tc>
        <w:tc>
          <w:tcPr>
            <w:tcW w:w="2212" w:type="dxa"/>
          </w:tcPr>
          <w:p w14:paraId="7A702147" w14:textId="77777777" w:rsidR="00134595" w:rsidRPr="00D34DA9" w:rsidRDefault="00134595" w:rsidP="00301ABF">
            <w:pPr>
              <w:spacing w:line="23" w:lineRule="atLeast"/>
              <w:rPr>
                <w:rFonts w:ascii="Verdana" w:hAnsi="Verdana"/>
                <w:color w:val="0070C0"/>
                <w:sz w:val="20"/>
                <w:szCs w:val="20"/>
              </w:rPr>
            </w:pPr>
            <w:r w:rsidRPr="00D34DA9">
              <w:rPr>
                <w:rFonts w:ascii="Verdana" w:hAnsi="Verdana"/>
                <w:color w:val="0070C0"/>
                <w:sz w:val="20"/>
                <w:szCs w:val="20"/>
              </w:rPr>
              <w:t>&lt;&lt;dd/mm/yyyy&gt;&gt;</w:t>
            </w:r>
          </w:p>
        </w:tc>
        <w:tc>
          <w:tcPr>
            <w:tcW w:w="2441" w:type="dxa"/>
          </w:tcPr>
          <w:p w14:paraId="3AB99A07" w14:textId="77777777" w:rsidR="00134595" w:rsidRPr="00D34DA9" w:rsidRDefault="00134595" w:rsidP="00301ABF">
            <w:pPr>
              <w:spacing w:line="23" w:lineRule="atLeast"/>
              <w:rPr>
                <w:rFonts w:ascii="Verdana" w:hAnsi="Verdana"/>
                <w:color w:val="0070C0"/>
                <w:sz w:val="20"/>
                <w:szCs w:val="20"/>
              </w:rPr>
            </w:pPr>
            <w:r w:rsidRPr="00D34DA9">
              <w:rPr>
                <w:rFonts w:ascii="Verdana" w:hAnsi="Verdana"/>
                <w:color w:val="0070C0"/>
                <w:sz w:val="20"/>
                <w:szCs w:val="20"/>
              </w:rPr>
              <w:t>&lt;&lt;Date of Statement or DOLS if earlier&gt;&gt;</w:t>
            </w:r>
          </w:p>
        </w:tc>
        <w:tc>
          <w:tcPr>
            <w:tcW w:w="1748" w:type="dxa"/>
          </w:tcPr>
          <w:p w14:paraId="7D56D47B" w14:textId="77777777" w:rsidR="00134595" w:rsidRPr="00D34DA9" w:rsidRDefault="00134595" w:rsidP="00301ABF">
            <w:pPr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D34DA9">
              <w:rPr>
                <w:rFonts w:ascii="Verdana" w:hAnsi="Verdana"/>
                <w:color w:val="0070C0"/>
                <w:sz w:val="20"/>
                <w:szCs w:val="20"/>
              </w:rPr>
              <w:t>&lt;&lt;Standard, Uniformed&gt;&gt;</w:t>
            </w:r>
          </w:p>
        </w:tc>
      </w:tr>
      <w:tr w:rsidR="00134595" w:rsidRPr="00D34DA9" w14:paraId="09127087" w14:textId="77777777" w:rsidTr="00134595">
        <w:trPr>
          <w:trHeight w:val="170"/>
        </w:trPr>
        <w:tc>
          <w:tcPr>
            <w:tcW w:w="3593" w:type="dxa"/>
          </w:tcPr>
          <w:p w14:paraId="519549A7" w14:textId="77777777" w:rsidR="00134595" w:rsidRPr="00D34DA9" w:rsidRDefault="00134595" w:rsidP="00301ABF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D34DA9">
              <w:rPr>
                <w:rFonts w:ascii="Verdana" w:hAnsi="Verdana"/>
                <w:color w:val="0070C0"/>
                <w:sz w:val="20"/>
                <w:szCs w:val="20"/>
              </w:rPr>
              <w:t>&lt;&lt;Insert Former Employer Name&gt;&gt;</w:t>
            </w:r>
          </w:p>
        </w:tc>
        <w:tc>
          <w:tcPr>
            <w:tcW w:w="2212" w:type="dxa"/>
          </w:tcPr>
          <w:p w14:paraId="67377AB6" w14:textId="77777777" w:rsidR="00134595" w:rsidRPr="00D34DA9" w:rsidRDefault="00134595" w:rsidP="00301ABF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D34DA9">
              <w:rPr>
                <w:rFonts w:ascii="Verdana" w:hAnsi="Verdana"/>
                <w:color w:val="0070C0"/>
                <w:sz w:val="20"/>
                <w:szCs w:val="20"/>
              </w:rPr>
              <w:t>&lt;&lt;dd/mm/yyyy&gt;&gt;</w:t>
            </w:r>
          </w:p>
        </w:tc>
        <w:tc>
          <w:tcPr>
            <w:tcW w:w="2441" w:type="dxa"/>
          </w:tcPr>
          <w:p w14:paraId="566B794C" w14:textId="77777777" w:rsidR="00134595" w:rsidRPr="00D34DA9" w:rsidRDefault="00134595" w:rsidP="00301ABF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D34DA9">
              <w:rPr>
                <w:rFonts w:ascii="Verdana" w:hAnsi="Verdana"/>
                <w:color w:val="0070C0"/>
                <w:sz w:val="20"/>
                <w:szCs w:val="20"/>
              </w:rPr>
              <w:t>&lt;&lt;dd/mm/yyyy&gt;&gt;</w:t>
            </w:r>
          </w:p>
        </w:tc>
        <w:tc>
          <w:tcPr>
            <w:tcW w:w="1748" w:type="dxa"/>
          </w:tcPr>
          <w:p w14:paraId="74194900" w14:textId="77777777" w:rsidR="00134595" w:rsidRPr="00D34DA9" w:rsidRDefault="00134595" w:rsidP="00301ABF">
            <w:pPr>
              <w:spacing w:line="23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 w:rsidRPr="00D34DA9">
              <w:rPr>
                <w:rFonts w:ascii="Verdana" w:hAnsi="Verdana"/>
                <w:color w:val="0070C0"/>
                <w:sz w:val="20"/>
                <w:szCs w:val="20"/>
              </w:rPr>
              <w:t>&lt;&lt;Standard, Uniformed&gt;&gt;</w:t>
            </w:r>
          </w:p>
        </w:tc>
      </w:tr>
      <w:tr w:rsidR="00134595" w:rsidRPr="00D34DA9" w14:paraId="130C2B57" w14:textId="77777777" w:rsidTr="00134595">
        <w:trPr>
          <w:trHeight w:val="178"/>
        </w:trPr>
        <w:tc>
          <w:tcPr>
            <w:tcW w:w="3593" w:type="dxa"/>
          </w:tcPr>
          <w:p w14:paraId="23739155" w14:textId="77777777" w:rsidR="00134595" w:rsidRPr="00D34DA9" w:rsidRDefault="00134595" w:rsidP="00301ABF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D34DA9">
              <w:rPr>
                <w:rFonts w:ascii="Verdana" w:hAnsi="Verdana"/>
                <w:color w:val="0070C0"/>
                <w:sz w:val="20"/>
                <w:szCs w:val="20"/>
              </w:rPr>
              <w:t>&lt;&lt;Insert Former Employer Name&gt;&gt;</w:t>
            </w:r>
          </w:p>
        </w:tc>
        <w:tc>
          <w:tcPr>
            <w:tcW w:w="2212" w:type="dxa"/>
          </w:tcPr>
          <w:p w14:paraId="239B3CC0" w14:textId="77777777" w:rsidR="00134595" w:rsidRPr="00D34DA9" w:rsidRDefault="00134595" w:rsidP="00301ABF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D34DA9">
              <w:rPr>
                <w:rFonts w:ascii="Verdana" w:hAnsi="Verdana"/>
                <w:color w:val="0070C0"/>
                <w:sz w:val="20"/>
                <w:szCs w:val="20"/>
              </w:rPr>
              <w:t>&lt;&lt;dd/mm/yyyy&gt;&gt;</w:t>
            </w:r>
          </w:p>
        </w:tc>
        <w:tc>
          <w:tcPr>
            <w:tcW w:w="2441" w:type="dxa"/>
          </w:tcPr>
          <w:p w14:paraId="1576678C" w14:textId="77777777" w:rsidR="00134595" w:rsidRPr="00D34DA9" w:rsidRDefault="00134595" w:rsidP="00301ABF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D34DA9">
              <w:rPr>
                <w:rFonts w:ascii="Verdana" w:hAnsi="Verdana"/>
                <w:color w:val="0070C0"/>
                <w:sz w:val="20"/>
                <w:szCs w:val="20"/>
              </w:rPr>
              <w:t>&lt;&lt;dd/mm/yyyy&gt;&gt;</w:t>
            </w:r>
          </w:p>
        </w:tc>
        <w:tc>
          <w:tcPr>
            <w:tcW w:w="1748" w:type="dxa"/>
          </w:tcPr>
          <w:p w14:paraId="7A6F1882" w14:textId="77777777" w:rsidR="00134595" w:rsidRPr="00D34DA9" w:rsidRDefault="00134595" w:rsidP="00301ABF">
            <w:pPr>
              <w:spacing w:line="23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 w:rsidRPr="00D34DA9">
              <w:rPr>
                <w:rFonts w:ascii="Verdana" w:hAnsi="Verdana"/>
                <w:color w:val="0070C0"/>
                <w:sz w:val="20"/>
                <w:szCs w:val="20"/>
              </w:rPr>
              <w:t>&lt;&lt;Standard, Uniformed&gt;&gt;</w:t>
            </w:r>
          </w:p>
        </w:tc>
      </w:tr>
    </w:tbl>
    <w:p w14:paraId="337DBC4B" w14:textId="4C2E1E75" w:rsidR="00134595" w:rsidRPr="00134595" w:rsidRDefault="00134595" w:rsidP="00134595">
      <w:pPr>
        <w:spacing w:after="0" w:line="23" w:lineRule="atLeast"/>
        <w:rPr>
          <w:rFonts w:ascii="Verdana" w:hAnsi="Verdana"/>
          <w:iCs/>
          <w:sz w:val="20"/>
          <w:szCs w:val="20"/>
        </w:rPr>
      </w:pPr>
    </w:p>
    <w:p w14:paraId="1E00CBF2" w14:textId="77777777" w:rsidR="00552251" w:rsidRDefault="00552251" w:rsidP="009E7DD8">
      <w:pPr>
        <w:spacing w:after="0" w:line="23" w:lineRule="atLeast"/>
        <w:rPr>
          <w:rFonts w:ascii="Verdana" w:hAnsi="Verdana"/>
          <w:iCs/>
          <w:sz w:val="20"/>
          <w:szCs w:val="20"/>
        </w:rPr>
      </w:pPr>
    </w:p>
    <w:p w14:paraId="315EFDF1" w14:textId="27FF0592" w:rsidR="00134595" w:rsidRDefault="00134595" w:rsidP="009E7DD8">
      <w:pPr>
        <w:spacing w:after="0" w:line="23" w:lineRule="atLeast"/>
        <w:rPr>
          <w:rFonts w:ascii="Verdana" w:hAnsi="Verdana"/>
          <w:iCs/>
          <w:sz w:val="20"/>
          <w:szCs w:val="20"/>
        </w:rPr>
      </w:pPr>
    </w:p>
    <w:p w14:paraId="6EFE2C86" w14:textId="77777777" w:rsidR="00134595" w:rsidRDefault="00134595" w:rsidP="009E7DD8">
      <w:pPr>
        <w:spacing w:after="0" w:line="23" w:lineRule="atLeast"/>
        <w:rPr>
          <w:rFonts w:ascii="Verdana" w:hAnsi="Verdana"/>
          <w:iCs/>
          <w:sz w:val="20"/>
          <w:szCs w:val="20"/>
        </w:rPr>
      </w:pPr>
    </w:p>
    <w:p w14:paraId="3BC2BC3B" w14:textId="77777777" w:rsidR="00134595" w:rsidRDefault="00134595" w:rsidP="009E7DD8">
      <w:pPr>
        <w:spacing w:after="0" w:line="23" w:lineRule="atLeast"/>
        <w:rPr>
          <w:rFonts w:ascii="Verdana" w:hAnsi="Verdana"/>
          <w:iCs/>
          <w:sz w:val="20"/>
          <w:szCs w:val="20"/>
        </w:rPr>
      </w:pPr>
    </w:p>
    <w:p w14:paraId="39AB564A" w14:textId="77777777" w:rsidR="00134595" w:rsidRDefault="00134595" w:rsidP="009E7DD8">
      <w:pPr>
        <w:spacing w:after="0" w:line="23" w:lineRule="atLeast"/>
        <w:rPr>
          <w:rFonts w:ascii="Verdana" w:hAnsi="Verdana"/>
          <w:iCs/>
          <w:sz w:val="20"/>
          <w:szCs w:val="20"/>
        </w:rPr>
      </w:pPr>
    </w:p>
    <w:p w14:paraId="3D062798" w14:textId="77777777" w:rsidR="00134595" w:rsidRDefault="00134595" w:rsidP="009E7DD8">
      <w:pPr>
        <w:spacing w:after="0" w:line="23" w:lineRule="atLeast"/>
        <w:rPr>
          <w:rFonts w:ascii="Verdana" w:hAnsi="Verdana"/>
          <w:iCs/>
          <w:sz w:val="20"/>
          <w:szCs w:val="20"/>
        </w:rPr>
      </w:pPr>
    </w:p>
    <w:p w14:paraId="78D59238" w14:textId="77777777" w:rsidR="00134595" w:rsidRDefault="00134595" w:rsidP="009E7DD8">
      <w:pPr>
        <w:spacing w:after="0" w:line="23" w:lineRule="atLeast"/>
        <w:rPr>
          <w:rFonts w:ascii="Verdana" w:hAnsi="Verdana"/>
          <w:iCs/>
          <w:sz w:val="20"/>
          <w:szCs w:val="20"/>
        </w:rPr>
      </w:pPr>
    </w:p>
    <w:p w14:paraId="4B5AAC6D" w14:textId="77777777" w:rsidR="00134595" w:rsidRDefault="00134595" w:rsidP="009E7DD8">
      <w:pPr>
        <w:spacing w:after="0" w:line="23" w:lineRule="atLeast"/>
        <w:rPr>
          <w:rFonts w:ascii="Verdana" w:hAnsi="Verdana"/>
          <w:iCs/>
          <w:sz w:val="20"/>
          <w:szCs w:val="20"/>
        </w:rPr>
      </w:pPr>
    </w:p>
    <w:p w14:paraId="2C6661A3" w14:textId="1CA7567A" w:rsidR="00745921" w:rsidRPr="00745921" w:rsidRDefault="00745921" w:rsidP="009E7DD8">
      <w:pPr>
        <w:spacing w:after="0" w:line="23" w:lineRule="atLeast"/>
        <w:rPr>
          <w:rFonts w:ascii="Verdana" w:hAnsi="Verdana"/>
          <w:iCs/>
          <w:sz w:val="20"/>
          <w:szCs w:val="20"/>
        </w:rPr>
      </w:pPr>
      <w:r w:rsidRPr="00745921">
        <w:rPr>
          <w:rFonts w:ascii="Verdana" w:hAnsi="Verdana"/>
          <w:b/>
          <w:iCs/>
          <w:sz w:val="20"/>
          <w:szCs w:val="20"/>
        </w:rPr>
        <w:lastRenderedPageBreak/>
        <w:t>Transfer Limits</w:t>
      </w:r>
    </w:p>
    <w:p w14:paraId="02F61FF3" w14:textId="77777777" w:rsidR="00890CCF" w:rsidRDefault="00235A01" w:rsidP="00745921">
      <w:pPr>
        <w:spacing w:after="0" w:line="23" w:lineRule="atLeast"/>
        <w:rPr>
          <w:rFonts w:ascii="Verdana" w:hAnsi="Verdana"/>
          <w:iCs/>
          <w:sz w:val="20"/>
          <w:szCs w:val="20"/>
        </w:rPr>
      </w:pPr>
      <w:r w:rsidRPr="00745921">
        <w:rPr>
          <w:rFonts w:ascii="Verdana" w:hAnsi="Verdana"/>
          <w:iCs/>
          <w:sz w:val="20"/>
          <w:szCs w:val="20"/>
        </w:rPr>
        <w:t xml:space="preserve">On the basis of </w:t>
      </w:r>
      <w:r w:rsidR="00745921" w:rsidRPr="00745921">
        <w:rPr>
          <w:rFonts w:ascii="Verdana" w:hAnsi="Verdana"/>
          <w:iCs/>
          <w:sz w:val="20"/>
          <w:szCs w:val="20"/>
        </w:rPr>
        <w:t>the quoted</w:t>
      </w:r>
      <w:r w:rsidRPr="00745921">
        <w:rPr>
          <w:rFonts w:ascii="Verdana" w:hAnsi="Verdana"/>
          <w:iCs/>
          <w:sz w:val="20"/>
          <w:szCs w:val="20"/>
        </w:rPr>
        <w:t xml:space="preserve"> transfer value</w:t>
      </w:r>
      <w:r w:rsidR="00745921" w:rsidRPr="00745921">
        <w:rPr>
          <w:rFonts w:ascii="Verdana" w:hAnsi="Verdana"/>
          <w:iCs/>
          <w:sz w:val="20"/>
          <w:szCs w:val="20"/>
        </w:rPr>
        <w:t xml:space="preserve"> provided,</w:t>
      </w:r>
      <w:r w:rsidRPr="00745921">
        <w:rPr>
          <w:rFonts w:ascii="Verdana" w:hAnsi="Verdana"/>
          <w:iCs/>
          <w:sz w:val="20"/>
          <w:szCs w:val="20"/>
        </w:rPr>
        <w:t xml:space="preserve"> in the amount of </w:t>
      </w:r>
      <w:r w:rsidRPr="00745921">
        <w:rPr>
          <w:rFonts w:ascii="Verdana" w:hAnsi="Verdana"/>
          <w:iCs/>
          <w:color w:val="0070C0"/>
          <w:sz w:val="20"/>
          <w:szCs w:val="20"/>
        </w:rPr>
        <w:t>€0.00</w:t>
      </w:r>
      <w:r w:rsidR="00745921" w:rsidRPr="00745921">
        <w:rPr>
          <w:rFonts w:ascii="Verdana" w:hAnsi="Verdana"/>
          <w:iCs/>
          <w:color w:val="0070C0"/>
          <w:sz w:val="20"/>
          <w:szCs w:val="20"/>
        </w:rPr>
        <w:t>,</w:t>
      </w:r>
      <w:r w:rsidRPr="00745921">
        <w:rPr>
          <w:rFonts w:ascii="Verdana" w:hAnsi="Verdana"/>
          <w:iCs/>
          <w:color w:val="0070C0"/>
          <w:sz w:val="20"/>
          <w:szCs w:val="20"/>
        </w:rPr>
        <w:t xml:space="preserve"> </w:t>
      </w:r>
      <w:r w:rsidRPr="00745921">
        <w:rPr>
          <w:rFonts w:ascii="Verdana" w:hAnsi="Verdana"/>
          <w:iCs/>
          <w:sz w:val="20"/>
          <w:szCs w:val="20"/>
        </w:rPr>
        <w:t xml:space="preserve">you may be </w:t>
      </w:r>
      <w:r w:rsidR="00256975">
        <w:rPr>
          <w:rFonts w:ascii="Verdana" w:hAnsi="Verdana"/>
          <w:iCs/>
          <w:sz w:val="20"/>
          <w:szCs w:val="20"/>
        </w:rPr>
        <w:t>e</w:t>
      </w:r>
      <w:r w:rsidRPr="00745921">
        <w:rPr>
          <w:rFonts w:ascii="Verdana" w:hAnsi="Verdana"/>
          <w:iCs/>
          <w:sz w:val="20"/>
          <w:szCs w:val="20"/>
        </w:rPr>
        <w:t xml:space="preserve">ligible to purchase </w:t>
      </w:r>
      <w:r w:rsidR="00745921" w:rsidRPr="00745921">
        <w:rPr>
          <w:rFonts w:ascii="Verdana" w:hAnsi="Verdana"/>
          <w:iCs/>
          <w:sz w:val="20"/>
          <w:szCs w:val="20"/>
        </w:rPr>
        <w:t>pension or lump-sum referable amounts up t</w:t>
      </w:r>
      <w:r w:rsidR="00745921">
        <w:rPr>
          <w:rFonts w:ascii="Verdana" w:hAnsi="Verdana"/>
          <w:iCs/>
          <w:sz w:val="20"/>
          <w:szCs w:val="20"/>
        </w:rPr>
        <w:t xml:space="preserve">o calculated limits. These limits are the most in referable pension or lump-sum amounts that you are permitted to purchase under the terms of Circular 15 of 2019. </w:t>
      </w:r>
    </w:p>
    <w:p w14:paraId="6BC90D1F" w14:textId="77777777" w:rsidR="00890CCF" w:rsidRDefault="00890CCF" w:rsidP="00745921">
      <w:pPr>
        <w:spacing w:after="0" w:line="23" w:lineRule="atLeast"/>
        <w:rPr>
          <w:rFonts w:ascii="Verdana" w:hAnsi="Verdana"/>
          <w:iCs/>
          <w:sz w:val="20"/>
          <w:szCs w:val="20"/>
        </w:rPr>
      </w:pPr>
    </w:p>
    <w:p w14:paraId="1B095D31" w14:textId="77777777" w:rsidR="00890CCF" w:rsidRDefault="00256975" w:rsidP="00745921">
      <w:pPr>
        <w:spacing w:after="0" w:line="23" w:lineRule="atLeast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Based on the information provided your </w:t>
      </w:r>
    </w:p>
    <w:p w14:paraId="760F4AE8" w14:textId="77777777" w:rsidR="00890CCF" w:rsidRDefault="00890CCF" w:rsidP="00745921">
      <w:pPr>
        <w:spacing w:after="0" w:line="23" w:lineRule="atLeast"/>
        <w:rPr>
          <w:rFonts w:ascii="Verdana" w:hAnsi="Verdana"/>
          <w:iCs/>
          <w:sz w:val="20"/>
          <w:szCs w:val="20"/>
        </w:rPr>
      </w:pPr>
    </w:p>
    <w:p w14:paraId="0C2909DD" w14:textId="37F2198C" w:rsidR="00890CCF" w:rsidRDefault="00890CCF" w:rsidP="00890CCF">
      <w:pPr>
        <w:pStyle w:val="ListParagraph"/>
        <w:numPr>
          <w:ilvl w:val="0"/>
          <w:numId w:val="4"/>
        </w:numPr>
        <w:spacing w:after="0" w:line="23" w:lineRule="atLeast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P</w:t>
      </w:r>
      <w:r w:rsidR="00256975" w:rsidRPr="00890CCF">
        <w:rPr>
          <w:rFonts w:ascii="Verdana" w:hAnsi="Verdana"/>
          <w:iCs/>
          <w:sz w:val="20"/>
          <w:szCs w:val="20"/>
        </w:rPr>
        <w:t xml:space="preserve">ension referable amount transfer limit is </w:t>
      </w:r>
      <w:r w:rsidR="00BF51F3" w:rsidRPr="00890CCF">
        <w:rPr>
          <w:rFonts w:ascii="Verdana" w:hAnsi="Verdana"/>
          <w:iCs/>
          <w:color w:val="0070C0"/>
          <w:sz w:val="20"/>
          <w:szCs w:val="20"/>
        </w:rPr>
        <w:t>€</w:t>
      </w:r>
      <w:r w:rsidR="00235A01" w:rsidRPr="00890CCF">
        <w:rPr>
          <w:rFonts w:ascii="Verdana" w:hAnsi="Verdana"/>
          <w:iCs/>
          <w:color w:val="0070C0"/>
          <w:sz w:val="20"/>
          <w:szCs w:val="20"/>
        </w:rPr>
        <w:t>0.00</w:t>
      </w:r>
      <w:r w:rsidR="00235A01" w:rsidRPr="00890CCF">
        <w:rPr>
          <w:rFonts w:ascii="Verdana" w:hAnsi="Verdana"/>
          <w:iCs/>
          <w:sz w:val="20"/>
          <w:szCs w:val="20"/>
        </w:rPr>
        <w:t xml:space="preserve"> </w:t>
      </w:r>
    </w:p>
    <w:p w14:paraId="10323BF7" w14:textId="4F619CAA" w:rsidR="00BF51F3" w:rsidRPr="00221CC9" w:rsidRDefault="00890CCF" w:rsidP="00890CCF">
      <w:pPr>
        <w:pStyle w:val="ListParagraph"/>
        <w:numPr>
          <w:ilvl w:val="0"/>
          <w:numId w:val="4"/>
        </w:numPr>
        <w:spacing w:after="0" w:line="23" w:lineRule="atLeast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L</w:t>
      </w:r>
      <w:r w:rsidR="00256975" w:rsidRPr="00890CCF">
        <w:rPr>
          <w:rFonts w:ascii="Verdana" w:hAnsi="Verdana"/>
          <w:iCs/>
          <w:sz w:val="20"/>
          <w:szCs w:val="20"/>
        </w:rPr>
        <w:t>ump sum referable amount transfer limit is</w:t>
      </w:r>
      <w:r w:rsidR="00745921" w:rsidRPr="00890CCF">
        <w:rPr>
          <w:rFonts w:ascii="Verdana" w:hAnsi="Verdana"/>
          <w:iCs/>
          <w:sz w:val="20"/>
          <w:szCs w:val="20"/>
        </w:rPr>
        <w:t xml:space="preserve"> </w:t>
      </w:r>
      <w:r w:rsidR="00BF51F3" w:rsidRPr="00890CCF">
        <w:rPr>
          <w:rFonts w:ascii="Verdana" w:hAnsi="Verdana"/>
          <w:iCs/>
          <w:color w:val="0070C0"/>
          <w:sz w:val="20"/>
          <w:szCs w:val="20"/>
        </w:rPr>
        <w:t>€</w:t>
      </w:r>
      <w:r w:rsidR="00235A01" w:rsidRPr="00890CCF">
        <w:rPr>
          <w:rFonts w:ascii="Verdana" w:hAnsi="Verdana"/>
          <w:iCs/>
          <w:color w:val="0070C0"/>
          <w:sz w:val="20"/>
          <w:szCs w:val="20"/>
        </w:rPr>
        <w:t>0.00</w:t>
      </w:r>
      <w:r w:rsidR="00256975" w:rsidRPr="00890CCF">
        <w:rPr>
          <w:rFonts w:ascii="Verdana" w:hAnsi="Verdana"/>
          <w:iCs/>
          <w:color w:val="0070C0"/>
          <w:sz w:val="20"/>
          <w:szCs w:val="20"/>
        </w:rPr>
        <w:t xml:space="preserve"> </w:t>
      </w:r>
      <w:r w:rsidR="00221CC9" w:rsidRPr="00221CC9">
        <w:rPr>
          <w:rFonts w:ascii="Verdana" w:hAnsi="Verdana"/>
          <w:iCs/>
          <w:sz w:val="20"/>
          <w:szCs w:val="20"/>
        </w:rPr>
        <w:t xml:space="preserve">resulting in a </w:t>
      </w:r>
    </w:p>
    <w:p w14:paraId="01AFC693" w14:textId="2BFA2BC2" w:rsidR="00221CC9" w:rsidRPr="00221CC9" w:rsidRDefault="00221CC9" w:rsidP="00890CCF">
      <w:pPr>
        <w:pStyle w:val="ListParagraph"/>
        <w:numPr>
          <w:ilvl w:val="0"/>
          <w:numId w:val="4"/>
        </w:numPr>
        <w:spacing w:after="0" w:line="23" w:lineRule="atLeast"/>
        <w:rPr>
          <w:rFonts w:ascii="Verdana" w:hAnsi="Verdana"/>
          <w:iCs/>
          <w:sz w:val="20"/>
          <w:szCs w:val="20"/>
        </w:rPr>
      </w:pPr>
      <w:r w:rsidRPr="00221CC9">
        <w:rPr>
          <w:rFonts w:ascii="Verdana" w:hAnsi="Verdana"/>
          <w:iCs/>
          <w:sz w:val="20"/>
          <w:szCs w:val="20"/>
        </w:rPr>
        <w:t xml:space="preserve">Total purchase limit of </w:t>
      </w:r>
      <w:r w:rsidRPr="00221CC9">
        <w:rPr>
          <w:rFonts w:ascii="Verdana" w:hAnsi="Verdana"/>
          <w:iCs/>
          <w:color w:val="0070C0"/>
          <w:sz w:val="20"/>
          <w:szCs w:val="20"/>
        </w:rPr>
        <w:t xml:space="preserve">€0.00 </w:t>
      </w:r>
      <w:r>
        <w:rPr>
          <w:rFonts w:ascii="Verdana" w:hAnsi="Verdana"/>
          <w:iCs/>
          <w:sz w:val="20"/>
          <w:szCs w:val="20"/>
        </w:rPr>
        <w:t xml:space="preserve">((a) </w:t>
      </w:r>
      <w:r>
        <w:rPr>
          <w:rFonts w:ascii="Verdana" w:hAnsi="Verdana"/>
          <w:b/>
          <w:iCs/>
          <w:sz w:val="20"/>
          <w:szCs w:val="20"/>
        </w:rPr>
        <w:t xml:space="preserve">plus </w:t>
      </w:r>
      <w:r>
        <w:rPr>
          <w:rFonts w:ascii="Verdana" w:hAnsi="Verdana"/>
          <w:iCs/>
          <w:sz w:val="20"/>
          <w:szCs w:val="20"/>
        </w:rPr>
        <w:t>(b))</w:t>
      </w:r>
    </w:p>
    <w:p w14:paraId="3DE02412" w14:textId="23A0B31E" w:rsidR="00C41549" w:rsidRPr="00745921" w:rsidRDefault="00C41549" w:rsidP="009E7DD8">
      <w:pPr>
        <w:spacing w:after="0" w:line="23" w:lineRule="atLeast"/>
        <w:rPr>
          <w:rFonts w:ascii="Verdana" w:hAnsi="Verdana"/>
          <w:iCs/>
          <w:sz w:val="20"/>
          <w:szCs w:val="20"/>
        </w:rPr>
      </w:pPr>
    </w:p>
    <w:p w14:paraId="39B659D2" w14:textId="2E2B90DC" w:rsidR="00C41549" w:rsidRDefault="00745921" w:rsidP="009E7DD8">
      <w:pPr>
        <w:spacing w:after="0" w:line="23" w:lineRule="atLeast"/>
        <w:rPr>
          <w:rFonts w:ascii="Verdana" w:hAnsi="Verdana"/>
          <w:b/>
          <w:iCs/>
          <w:sz w:val="20"/>
          <w:szCs w:val="20"/>
        </w:rPr>
      </w:pPr>
      <w:r w:rsidRPr="00745921">
        <w:rPr>
          <w:rFonts w:ascii="Verdana" w:hAnsi="Verdana"/>
          <w:b/>
          <w:iCs/>
          <w:sz w:val="20"/>
          <w:szCs w:val="20"/>
        </w:rPr>
        <w:t xml:space="preserve">Cost to purchase </w:t>
      </w:r>
      <w:r>
        <w:rPr>
          <w:rFonts w:ascii="Verdana" w:hAnsi="Verdana"/>
          <w:b/>
          <w:iCs/>
          <w:sz w:val="20"/>
          <w:szCs w:val="20"/>
        </w:rPr>
        <w:t>additional Pension and Lump Sum Referable Amounts</w:t>
      </w:r>
    </w:p>
    <w:p w14:paraId="38ED6745" w14:textId="417B6BA9" w:rsidR="00134595" w:rsidRPr="00134595" w:rsidRDefault="00134595" w:rsidP="009E7DD8">
      <w:pPr>
        <w:spacing w:after="0" w:line="23" w:lineRule="atLeast"/>
        <w:rPr>
          <w:rFonts w:ascii="Verdana" w:hAnsi="Verdana"/>
          <w:iCs/>
          <w:sz w:val="20"/>
          <w:szCs w:val="20"/>
        </w:rPr>
      </w:pPr>
      <w:r w:rsidRPr="00134595">
        <w:rPr>
          <w:rFonts w:ascii="Verdana" w:hAnsi="Verdana" w:cs="Arial"/>
          <w:bCs/>
          <w:sz w:val="20"/>
          <w:szCs w:val="20"/>
        </w:rPr>
        <w:t xml:space="preserve">Please note that the costs </w:t>
      </w:r>
      <w:r>
        <w:rPr>
          <w:rFonts w:ascii="Verdana" w:hAnsi="Verdana" w:cs="Arial"/>
          <w:bCs/>
          <w:sz w:val="20"/>
          <w:szCs w:val="20"/>
        </w:rPr>
        <w:t xml:space="preserve">below </w:t>
      </w:r>
      <w:r w:rsidRPr="00134595">
        <w:rPr>
          <w:rFonts w:ascii="Verdana" w:hAnsi="Verdana" w:cs="Arial"/>
          <w:bCs/>
          <w:sz w:val="20"/>
          <w:szCs w:val="20"/>
        </w:rPr>
        <w:t>are gross amounts and do not take tax-relief that may be available to you through the Office of the Revenue Commissioners into account. Tax-relief may be available to you on the cost to purchase additional referable pension and/or lump-sum amounts. This is a matter for you and Revenue.</w:t>
      </w:r>
    </w:p>
    <w:p w14:paraId="05E7F195" w14:textId="77777777" w:rsidR="00745921" w:rsidRDefault="00745921" w:rsidP="009E7DD8">
      <w:pPr>
        <w:spacing w:after="0" w:line="23" w:lineRule="atLeast"/>
        <w:rPr>
          <w:rFonts w:ascii="Verdana" w:hAnsi="Verdana"/>
          <w:b/>
          <w:iCs/>
          <w:sz w:val="20"/>
          <w:szCs w:val="20"/>
        </w:rPr>
      </w:pPr>
    </w:p>
    <w:p w14:paraId="454BF3A9" w14:textId="2104BCF7" w:rsidR="00745921" w:rsidRPr="00C41549" w:rsidRDefault="00745921" w:rsidP="009E7DD8">
      <w:pPr>
        <w:spacing w:after="0" w:line="23" w:lineRule="atLeast"/>
        <w:rPr>
          <w:rFonts w:ascii="Verdana" w:hAnsi="Verdana"/>
          <w:b/>
          <w:iCs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>Pension Referable Amounts</w:t>
      </w:r>
    </w:p>
    <w:p w14:paraId="4ADBCB5B" w14:textId="445771EE" w:rsidR="00C41549" w:rsidRPr="00221CC9" w:rsidRDefault="00745921" w:rsidP="009E7DD8">
      <w:pPr>
        <w:spacing w:after="0" w:line="23" w:lineRule="atLeast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The cost to purchase</w:t>
      </w:r>
      <w:r w:rsidR="00C41549">
        <w:rPr>
          <w:rFonts w:ascii="Verdana" w:hAnsi="Verdana"/>
          <w:iCs/>
          <w:sz w:val="20"/>
          <w:szCs w:val="20"/>
        </w:rPr>
        <w:t xml:space="preserve"> €1 of pension</w:t>
      </w:r>
      <w:r>
        <w:rPr>
          <w:rFonts w:ascii="Verdana" w:hAnsi="Verdana"/>
          <w:iCs/>
          <w:sz w:val="20"/>
          <w:szCs w:val="20"/>
        </w:rPr>
        <w:t xml:space="preserve"> referable amounts is </w:t>
      </w:r>
      <w:r w:rsidRPr="00745921">
        <w:rPr>
          <w:rFonts w:ascii="Verdana" w:hAnsi="Verdana"/>
          <w:iCs/>
          <w:color w:val="0070C0"/>
          <w:sz w:val="20"/>
          <w:szCs w:val="20"/>
        </w:rPr>
        <w:t>€</w:t>
      </w:r>
      <w:r w:rsidRPr="00745921">
        <w:rPr>
          <w:rFonts w:ascii="Verdana" w:hAnsi="Verdana"/>
          <w:iCs/>
          <w:color w:val="0070C0"/>
          <w:sz w:val="20"/>
          <w:szCs w:val="20"/>
        </w:rPr>
        <w:softHyphen/>
      </w:r>
      <w:r w:rsidRPr="00745921">
        <w:rPr>
          <w:rFonts w:ascii="Verdana" w:hAnsi="Verdana"/>
          <w:iCs/>
          <w:color w:val="0070C0"/>
          <w:sz w:val="20"/>
          <w:szCs w:val="20"/>
        </w:rPr>
        <w:softHyphen/>
        <w:t>0.00</w:t>
      </w:r>
      <w:r w:rsidR="00890CCF">
        <w:rPr>
          <w:rFonts w:ascii="Verdana" w:hAnsi="Verdana"/>
          <w:iCs/>
          <w:sz w:val="20"/>
          <w:szCs w:val="20"/>
        </w:rPr>
        <w:t xml:space="preserve"> and t</w:t>
      </w:r>
      <w:r>
        <w:rPr>
          <w:rFonts w:ascii="Verdana" w:hAnsi="Verdana"/>
          <w:iCs/>
          <w:sz w:val="20"/>
          <w:szCs w:val="20"/>
        </w:rPr>
        <w:t xml:space="preserve">he cost to purchase the pension referable amount limit </w:t>
      </w:r>
      <w:r w:rsidR="00890CCF">
        <w:rPr>
          <w:rFonts w:ascii="Verdana" w:hAnsi="Verdana"/>
          <w:iCs/>
          <w:sz w:val="20"/>
          <w:szCs w:val="20"/>
        </w:rPr>
        <w:t xml:space="preserve">at (a) </w:t>
      </w:r>
      <w:r>
        <w:rPr>
          <w:rFonts w:ascii="Verdana" w:hAnsi="Verdana"/>
          <w:iCs/>
          <w:sz w:val="20"/>
          <w:szCs w:val="20"/>
        </w:rPr>
        <w:t xml:space="preserve">above is </w:t>
      </w:r>
      <w:r w:rsidRPr="00745921">
        <w:rPr>
          <w:rFonts w:ascii="Verdana" w:hAnsi="Verdana"/>
          <w:iCs/>
          <w:color w:val="0070C0"/>
          <w:sz w:val="20"/>
          <w:szCs w:val="20"/>
        </w:rPr>
        <w:t>€0.00</w:t>
      </w:r>
      <w:r w:rsidR="00221CC9">
        <w:rPr>
          <w:rFonts w:ascii="Verdana" w:hAnsi="Verdana"/>
          <w:iCs/>
          <w:color w:val="0070C0"/>
          <w:sz w:val="20"/>
          <w:szCs w:val="20"/>
        </w:rPr>
        <w:t xml:space="preserve">. </w:t>
      </w:r>
      <w:r w:rsidR="00221CC9" w:rsidRPr="00221CC9">
        <w:rPr>
          <w:rFonts w:ascii="Verdana" w:hAnsi="Verdana"/>
          <w:iCs/>
          <w:sz w:val="20"/>
          <w:szCs w:val="20"/>
        </w:rPr>
        <w:t xml:space="preserve">In order to calculate the cost of purchasing pensionable referable amounts between €1 and the pension referable amount limit you should multiply the cost to purchase €1 by the amount in pension referable amounts you would like to buy. </w:t>
      </w:r>
      <w:r w:rsidRPr="00221CC9">
        <w:rPr>
          <w:rFonts w:ascii="Verdana" w:hAnsi="Verdana"/>
          <w:iCs/>
          <w:sz w:val="20"/>
          <w:szCs w:val="20"/>
        </w:rPr>
        <w:t xml:space="preserve"> </w:t>
      </w:r>
    </w:p>
    <w:p w14:paraId="5818A3F9" w14:textId="77777777" w:rsidR="00221CC9" w:rsidRPr="00221CC9" w:rsidRDefault="00221CC9" w:rsidP="009E7DD8">
      <w:pPr>
        <w:spacing w:after="0" w:line="23" w:lineRule="atLeast"/>
        <w:rPr>
          <w:rFonts w:ascii="Verdana" w:hAnsi="Verdana"/>
          <w:iCs/>
          <w:sz w:val="20"/>
          <w:szCs w:val="20"/>
        </w:rPr>
      </w:pPr>
    </w:p>
    <w:p w14:paraId="42E65A09" w14:textId="4DD2267F" w:rsidR="00745921" w:rsidRPr="00C41549" w:rsidRDefault="00745921" w:rsidP="00745921">
      <w:pPr>
        <w:spacing w:after="0" w:line="23" w:lineRule="atLeast"/>
        <w:rPr>
          <w:rFonts w:ascii="Verdana" w:hAnsi="Verdana"/>
          <w:b/>
          <w:iCs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 xml:space="preserve">Lump Sum Referable Amounts </w:t>
      </w:r>
    </w:p>
    <w:p w14:paraId="76999547" w14:textId="7AF0D18A" w:rsidR="00221CC9" w:rsidRDefault="00745921" w:rsidP="00221CC9">
      <w:pPr>
        <w:spacing w:after="0" w:line="23" w:lineRule="atLeast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The cost to purchase €1 of lump sum referable amounts is </w:t>
      </w:r>
      <w:r w:rsidRPr="00745921">
        <w:rPr>
          <w:rFonts w:ascii="Verdana" w:hAnsi="Verdana"/>
          <w:iCs/>
          <w:color w:val="0070C0"/>
          <w:sz w:val="20"/>
          <w:szCs w:val="20"/>
        </w:rPr>
        <w:t>€</w:t>
      </w:r>
      <w:r w:rsidRPr="00745921">
        <w:rPr>
          <w:rFonts w:ascii="Verdana" w:hAnsi="Verdana"/>
          <w:iCs/>
          <w:color w:val="0070C0"/>
          <w:sz w:val="20"/>
          <w:szCs w:val="20"/>
        </w:rPr>
        <w:softHyphen/>
      </w:r>
      <w:r w:rsidRPr="00745921">
        <w:rPr>
          <w:rFonts w:ascii="Verdana" w:hAnsi="Verdana"/>
          <w:iCs/>
          <w:color w:val="0070C0"/>
          <w:sz w:val="20"/>
          <w:szCs w:val="20"/>
        </w:rPr>
        <w:softHyphen/>
        <w:t>0.00</w:t>
      </w:r>
      <w:r w:rsidR="00890CCF">
        <w:rPr>
          <w:rFonts w:ascii="Verdana" w:hAnsi="Verdana"/>
          <w:iCs/>
          <w:color w:val="0070C0"/>
          <w:sz w:val="20"/>
          <w:szCs w:val="20"/>
        </w:rPr>
        <w:t xml:space="preserve"> </w:t>
      </w:r>
      <w:r w:rsidR="00890CCF" w:rsidRPr="00890CCF">
        <w:rPr>
          <w:rFonts w:ascii="Verdana" w:hAnsi="Verdana"/>
          <w:iCs/>
          <w:sz w:val="20"/>
          <w:szCs w:val="20"/>
        </w:rPr>
        <w:t>and t</w:t>
      </w:r>
      <w:r>
        <w:rPr>
          <w:rFonts w:ascii="Verdana" w:hAnsi="Verdana"/>
          <w:iCs/>
          <w:sz w:val="20"/>
          <w:szCs w:val="20"/>
        </w:rPr>
        <w:t xml:space="preserve">he cost to purchase the lump sum referable amount limit </w:t>
      </w:r>
      <w:r w:rsidR="00890CCF">
        <w:rPr>
          <w:rFonts w:ascii="Verdana" w:hAnsi="Verdana"/>
          <w:iCs/>
          <w:sz w:val="20"/>
          <w:szCs w:val="20"/>
        </w:rPr>
        <w:t xml:space="preserve">at (b) </w:t>
      </w:r>
      <w:r>
        <w:rPr>
          <w:rFonts w:ascii="Verdana" w:hAnsi="Verdana"/>
          <w:iCs/>
          <w:sz w:val="20"/>
          <w:szCs w:val="20"/>
        </w:rPr>
        <w:t xml:space="preserve">above is </w:t>
      </w:r>
      <w:r w:rsidRPr="00745921">
        <w:rPr>
          <w:rFonts w:ascii="Verdana" w:hAnsi="Verdana"/>
          <w:iCs/>
          <w:color w:val="0070C0"/>
          <w:sz w:val="20"/>
          <w:szCs w:val="20"/>
        </w:rPr>
        <w:t>€0.00</w:t>
      </w:r>
      <w:r w:rsidR="00221CC9">
        <w:rPr>
          <w:rFonts w:ascii="Verdana" w:hAnsi="Verdana"/>
          <w:iCs/>
          <w:color w:val="0070C0"/>
          <w:sz w:val="20"/>
          <w:szCs w:val="20"/>
        </w:rPr>
        <w:t>.</w:t>
      </w:r>
      <w:r w:rsidR="00221CC9" w:rsidRPr="00221CC9">
        <w:rPr>
          <w:rFonts w:ascii="Verdana" w:hAnsi="Verdana"/>
          <w:iCs/>
          <w:sz w:val="20"/>
          <w:szCs w:val="20"/>
        </w:rPr>
        <w:t xml:space="preserve"> In order to calculate the cost of purchasing lump sum referable amounts between €1 and the lump sum referable amount limit you should multiply the cost to purchase €1 by the amount in lump referable amounts you would like to buy.  </w:t>
      </w:r>
    </w:p>
    <w:p w14:paraId="6DDC62CC" w14:textId="77777777" w:rsidR="00221CC9" w:rsidRDefault="00221CC9" w:rsidP="00221CC9">
      <w:pPr>
        <w:spacing w:after="0" w:line="23" w:lineRule="atLeast"/>
        <w:rPr>
          <w:rFonts w:ascii="Verdana" w:hAnsi="Verdana"/>
          <w:iCs/>
          <w:sz w:val="20"/>
          <w:szCs w:val="20"/>
        </w:rPr>
      </w:pPr>
    </w:p>
    <w:p w14:paraId="72DD0DFD" w14:textId="256EA583" w:rsidR="00221CC9" w:rsidRPr="00221CC9" w:rsidRDefault="00221CC9" w:rsidP="00221CC9">
      <w:pPr>
        <w:spacing w:after="0" w:line="23" w:lineRule="atLeast"/>
        <w:rPr>
          <w:rFonts w:ascii="Verdana" w:hAnsi="Verdana"/>
          <w:b/>
          <w:iCs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>Important</w:t>
      </w:r>
    </w:p>
    <w:p w14:paraId="16BF6AAC" w14:textId="77777777" w:rsidR="00221CC9" w:rsidRDefault="00221CC9" w:rsidP="00221CC9">
      <w:pPr>
        <w:spacing w:after="0" w:line="23" w:lineRule="atLeast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Once you have decided how much in pension and/or lump sum referable amounts you would like to buy it is important that the total cost does not exceed your total purchase limit of </w:t>
      </w:r>
      <w:r w:rsidRPr="00221CC9">
        <w:rPr>
          <w:rFonts w:ascii="Verdana" w:hAnsi="Verdana"/>
          <w:iCs/>
          <w:color w:val="0070C0"/>
          <w:sz w:val="20"/>
          <w:szCs w:val="20"/>
        </w:rPr>
        <w:t>€0.00</w:t>
      </w:r>
      <w:r>
        <w:rPr>
          <w:rFonts w:ascii="Verdana" w:hAnsi="Verdana"/>
          <w:iCs/>
          <w:sz w:val="20"/>
          <w:szCs w:val="20"/>
        </w:rPr>
        <w:t xml:space="preserve">. You cannot purchase any amount in excess of the total purchase limit. </w:t>
      </w:r>
    </w:p>
    <w:p w14:paraId="70D9279B" w14:textId="77777777" w:rsidR="00221CC9" w:rsidRDefault="00221CC9" w:rsidP="00221CC9">
      <w:pPr>
        <w:spacing w:after="0" w:line="23" w:lineRule="atLeast"/>
        <w:rPr>
          <w:rFonts w:ascii="Verdana" w:hAnsi="Verdana"/>
          <w:iCs/>
          <w:sz w:val="20"/>
          <w:szCs w:val="20"/>
        </w:rPr>
      </w:pPr>
    </w:p>
    <w:p w14:paraId="5456D584" w14:textId="6C4954D6" w:rsidR="00221CC9" w:rsidRDefault="00221CC9" w:rsidP="00221CC9">
      <w:pPr>
        <w:spacing w:after="0" w:line="23" w:lineRule="atLeast"/>
        <w:rPr>
          <w:rFonts w:ascii="Verdana" w:hAnsi="Verdana"/>
          <w:b/>
          <w:iCs/>
          <w:sz w:val="20"/>
          <w:szCs w:val="20"/>
        </w:rPr>
      </w:pPr>
      <w:r w:rsidRPr="00221CC9">
        <w:rPr>
          <w:rFonts w:ascii="Verdana" w:hAnsi="Verdana"/>
          <w:b/>
          <w:iCs/>
          <w:sz w:val="20"/>
          <w:szCs w:val="20"/>
        </w:rPr>
        <w:t xml:space="preserve">If your transfer value is greater than the total purchase limit then the amount of the transfer value in excess of the calculated purchase limits is foregone.  </w:t>
      </w:r>
      <w:r>
        <w:rPr>
          <w:rFonts w:ascii="Verdana" w:hAnsi="Verdana"/>
          <w:b/>
          <w:iCs/>
          <w:sz w:val="20"/>
          <w:szCs w:val="20"/>
        </w:rPr>
        <w:t xml:space="preserve">It is </w:t>
      </w:r>
    </w:p>
    <w:p w14:paraId="3C2D5C6C" w14:textId="77777777" w:rsidR="00221CC9" w:rsidRPr="00221CC9" w:rsidRDefault="00221CC9" w:rsidP="00221CC9">
      <w:pPr>
        <w:spacing w:after="0" w:line="23" w:lineRule="atLeast"/>
        <w:rPr>
          <w:rFonts w:ascii="Verdana" w:hAnsi="Verdana"/>
          <w:b/>
          <w:iCs/>
          <w:sz w:val="20"/>
          <w:szCs w:val="20"/>
        </w:rPr>
      </w:pPr>
    </w:p>
    <w:p w14:paraId="333F6BC9" w14:textId="2316BB9D" w:rsidR="00221CC9" w:rsidRPr="00221CC9" w:rsidRDefault="00221CC9" w:rsidP="00221CC9">
      <w:pPr>
        <w:spacing w:after="0" w:line="23" w:lineRule="atLeast"/>
        <w:rPr>
          <w:rFonts w:ascii="Verdana" w:hAnsi="Verdana"/>
          <w:b/>
          <w:iCs/>
          <w:sz w:val="20"/>
          <w:szCs w:val="20"/>
        </w:rPr>
      </w:pPr>
      <w:r w:rsidRPr="00221CC9">
        <w:rPr>
          <w:rFonts w:ascii="Verdana" w:hAnsi="Verdana" w:cs="Arial"/>
          <w:sz w:val="20"/>
          <w:szCs w:val="20"/>
        </w:rPr>
        <w:t xml:space="preserve">You should always seek </w:t>
      </w:r>
      <w:r w:rsidRPr="00221CC9">
        <w:rPr>
          <w:rFonts w:ascii="Verdana" w:hAnsi="Verdana" w:cs="Arial"/>
          <w:b/>
          <w:sz w:val="20"/>
          <w:szCs w:val="20"/>
        </w:rPr>
        <w:t xml:space="preserve">independent financial advice </w:t>
      </w:r>
      <w:r w:rsidRPr="00221CC9">
        <w:rPr>
          <w:rFonts w:ascii="Verdana" w:hAnsi="Verdana" w:cs="Arial"/>
          <w:sz w:val="20"/>
          <w:szCs w:val="20"/>
        </w:rPr>
        <w:t>prior to formally transferring benefits held in a Revenue approved pension scheme into the Single Scheme. An independent financial advisor may also be able to provide guidance on other means of increasing your final retirement benefits.</w:t>
      </w:r>
    </w:p>
    <w:p w14:paraId="6F653F68" w14:textId="62266911" w:rsidR="00745921" w:rsidRPr="00221CC9" w:rsidRDefault="00745921" w:rsidP="00221CC9">
      <w:pPr>
        <w:spacing w:after="0" w:line="23" w:lineRule="atLeast"/>
        <w:rPr>
          <w:rFonts w:ascii="Verdana" w:hAnsi="Verdana"/>
          <w:iCs/>
          <w:sz w:val="20"/>
          <w:szCs w:val="20"/>
        </w:rPr>
      </w:pPr>
      <w:r w:rsidRPr="00221CC9">
        <w:rPr>
          <w:rFonts w:ascii="Verdana" w:hAnsi="Verdana"/>
          <w:iCs/>
          <w:sz w:val="20"/>
          <w:szCs w:val="20"/>
        </w:rPr>
        <w:t xml:space="preserve"> </w:t>
      </w:r>
    </w:p>
    <w:p w14:paraId="1DD7565A" w14:textId="45DA8C68" w:rsidR="00FF1ACE" w:rsidRDefault="00FF1ACE" w:rsidP="00FF1ACE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sz w:val="20"/>
          <w:szCs w:val="20"/>
        </w:rPr>
        <w:t>If you</w:t>
      </w:r>
      <w:r w:rsidR="00221CC9">
        <w:rPr>
          <w:rFonts w:ascii="Verdana" w:hAnsi="Verdana"/>
          <w:sz w:val="20"/>
          <w:szCs w:val="20"/>
        </w:rPr>
        <w:t xml:space="preserve"> have any questions or if you</w:t>
      </w:r>
      <w:r>
        <w:rPr>
          <w:rFonts w:ascii="Verdana" w:hAnsi="Verdana"/>
          <w:sz w:val="20"/>
          <w:szCs w:val="20"/>
        </w:rPr>
        <w:t xml:space="preserve"> </w:t>
      </w:r>
      <w:r w:rsidR="00813A2D">
        <w:rPr>
          <w:rFonts w:ascii="Verdana" w:hAnsi="Verdana"/>
          <w:sz w:val="20"/>
          <w:szCs w:val="20"/>
        </w:rPr>
        <w:t xml:space="preserve">wish to </w:t>
      </w:r>
      <w:r w:rsidR="00221CC9">
        <w:rPr>
          <w:rFonts w:ascii="Verdana" w:hAnsi="Verdana"/>
          <w:sz w:val="20"/>
          <w:szCs w:val="20"/>
        </w:rPr>
        <w:t xml:space="preserve">formally </w:t>
      </w:r>
      <w:r w:rsidR="006D4EE6">
        <w:rPr>
          <w:rFonts w:ascii="Verdana" w:hAnsi="Verdana"/>
          <w:sz w:val="20"/>
          <w:szCs w:val="20"/>
        </w:rPr>
        <w:t>proceed</w:t>
      </w:r>
      <w:r w:rsidR="00221CC9">
        <w:rPr>
          <w:rFonts w:ascii="Verdana" w:hAnsi="Verdana"/>
          <w:sz w:val="20"/>
          <w:szCs w:val="20"/>
        </w:rPr>
        <w:t xml:space="preserve"> with the transfer-in of these external benefits</w:t>
      </w:r>
      <w:r>
        <w:rPr>
          <w:rFonts w:ascii="Verdana" w:hAnsi="Verdana"/>
          <w:sz w:val="20"/>
          <w:szCs w:val="20"/>
        </w:rPr>
        <w:t xml:space="preserve">, please contact </w:t>
      </w:r>
      <w:r w:rsidRPr="0060603C">
        <w:rPr>
          <w:rFonts w:ascii="Verdana" w:hAnsi="Verdana"/>
          <w:color w:val="0070C0"/>
          <w:sz w:val="20"/>
          <w:szCs w:val="20"/>
        </w:rPr>
        <w:t xml:space="preserve">&lt;&lt;insert Pension </w:t>
      </w:r>
      <w:r w:rsidR="00221CC9">
        <w:rPr>
          <w:rFonts w:ascii="Verdana" w:hAnsi="Verdana"/>
          <w:color w:val="0070C0"/>
          <w:sz w:val="20"/>
          <w:szCs w:val="20"/>
        </w:rPr>
        <w:t>Officer’s Contact details&gt;&gt;.</w:t>
      </w:r>
      <w:r w:rsidRPr="0060603C">
        <w:rPr>
          <w:rFonts w:ascii="Verdana" w:hAnsi="Verdana"/>
          <w:color w:val="0070C0"/>
          <w:sz w:val="20"/>
          <w:szCs w:val="20"/>
        </w:rPr>
        <w:t xml:space="preserve"> </w:t>
      </w:r>
    </w:p>
    <w:p w14:paraId="49F88314" w14:textId="77777777" w:rsidR="00EA6583" w:rsidRPr="00CF1677" w:rsidRDefault="00EA6583" w:rsidP="00EA6583">
      <w:pPr>
        <w:tabs>
          <w:tab w:val="left" w:pos="7325"/>
        </w:tabs>
        <w:spacing w:after="0" w:line="23" w:lineRule="atLeast"/>
        <w:rPr>
          <w:rFonts w:ascii="Verdana" w:hAnsi="Verdana"/>
          <w:sz w:val="20"/>
          <w:szCs w:val="20"/>
        </w:rPr>
      </w:pPr>
      <w:r w:rsidRPr="00CF1677">
        <w:rPr>
          <w:rFonts w:ascii="Verdana" w:hAnsi="Verdana"/>
          <w:sz w:val="20"/>
          <w:szCs w:val="20"/>
        </w:rPr>
        <w:tab/>
      </w:r>
    </w:p>
    <w:p w14:paraId="5DC98562" w14:textId="77777777" w:rsidR="00EA6583" w:rsidRPr="00CF1677" w:rsidRDefault="00EA6583" w:rsidP="00EA6583">
      <w:pPr>
        <w:spacing w:after="0" w:line="23" w:lineRule="atLeast"/>
        <w:rPr>
          <w:rFonts w:ascii="Verdana" w:hAnsi="Verdana"/>
          <w:sz w:val="20"/>
          <w:szCs w:val="20"/>
        </w:rPr>
      </w:pPr>
      <w:r w:rsidRPr="00CF1677">
        <w:rPr>
          <w:rFonts w:ascii="Verdana" w:hAnsi="Verdana"/>
          <w:sz w:val="20"/>
          <w:szCs w:val="20"/>
        </w:rPr>
        <w:t xml:space="preserve">Yours sincerely </w:t>
      </w:r>
    </w:p>
    <w:p w14:paraId="170EE8C1" w14:textId="77777777" w:rsidR="00EA6583" w:rsidRPr="00CF1677" w:rsidRDefault="00EA6583" w:rsidP="00EA6583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3203FA06" w14:textId="77777777" w:rsidR="00EA6583" w:rsidRPr="00CF1677" w:rsidRDefault="00EA6583" w:rsidP="00EA6583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CF1677">
        <w:rPr>
          <w:rFonts w:ascii="Verdana" w:hAnsi="Verdana"/>
          <w:b/>
          <w:color w:val="0070C0"/>
          <w:sz w:val="20"/>
          <w:szCs w:val="20"/>
        </w:rPr>
        <w:t>&lt;&lt;Pension Administrator’s Name&gt;&gt;</w:t>
      </w:r>
    </w:p>
    <w:p w14:paraId="32BE1882" w14:textId="5E1909DA" w:rsidR="008B45F5" w:rsidRPr="00CF1677" w:rsidRDefault="00EA6583" w:rsidP="009E187D">
      <w:pPr>
        <w:spacing w:after="0" w:line="23" w:lineRule="atLeast"/>
        <w:rPr>
          <w:rFonts w:ascii="Verdana" w:hAnsi="Verdana"/>
          <w:sz w:val="20"/>
          <w:szCs w:val="20"/>
        </w:rPr>
      </w:pPr>
      <w:r w:rsidRPr="00CF1677">
        <w:rPr>
          <w:rFonts w:ascii="Verdana" w:hAnsi="Verdana"/>
          <w:b/>
          <w:color w:val="0070C0"/>
          <w:sz w:val="20"/>
          <w:szCs w:val="20"/>
        </w:rPr>
        <w:t>&lt;&lt;Pension Administrator’s Department</w:t>
      </w:r>
    </w:p>
    <w:p w14:paraId="41BEFE74" w14:textId="77777777" w:rsidR="008B45F5" w:rsidRDefault="008B45F5" w:rsidP="008B45F5"/>
    <w:p w14:paraId="57349011" w14:textId="77777777" w:rsidR="006356D8" w:rsidRDefault="006356D8"/>
    <w:sectPr w:rsidR="006356D8" w:rsidSect="00CF1677"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E4221" w14:textId="77777777" w:rsidR="00823EB0" w:rsidRDefault="00823EB0" w:rsidP="008B45F5">
      <w:pPr>
        <w:spacing w:after="0" w:line="240" w:lineRule="auto"/>
      </w:pPr>
      <w:r>
        <w:separator/>
      </w:r>
    </w:p>
  </w:endnote>
  <w:endnote w:type="continuationSeparator" w:id="0">
    <w:p w14:paraId="4D6411F6" w14:textId="77777777" w:rsidR="00823EB0" w:rsidRDefault="00823EB0" w:rsidP="008B4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4"/>
        <w:szCs w:val="14"/>
      </w:rPr>
      <w:id w:val="-878398942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7F79E67" w14:textId="77777777" w:rsidR="00CF1677" w:rsidRPr="00CF1677" w:rsidRDefault="008B45F5" w:rsidP="00CF1677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CF1677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CF1677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CF1677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CF1677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6F1A8A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CF1677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CF1677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CF1677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CF1677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CF1677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6F1A8A">
              <w:rPr>
                <w:rFonts w:ascii="Verdana" w:hAnsi="Verdana"/>
                <w:bCs/>
                <w:noProof/>
                <w:sz w:val="14"/>
                <w:szCs w:val="14"/>
              </w:rPr>
              <w:t>3</w:t>
            </w:r>
            <w:r w:rsidRPr="00CF1677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7184DD69" w14:textId="77777777" w:rsidR="00CF1677" w:rsidRDefault="00823E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0D30D" w14:textId="77777777" w:rsidR="00CF1677" w:rsidRPr="00CF1677" w:rsidRDefault="008B45F5" w:rsidP="00CF1677">
    <w:pPr>
      <w:pStyle w:val="Footer"/>
      <w:jc w:val="center"/>
      <w:rPr>
        <w:rFonts w:ascii="Verdana" w:hAnsi="Verdana"/>
        <w:sz w:val="14"/>
        <w:szCs w:val="14"/>
      </w:rPr>
    </w:pPr>
    <w:r w:rsidRPr="00CF1677">
      <w:rPr>
        <w:rFonts w:ascii="Verdana" w:hAnsi="Verdana"/>
        <w:sz w:val="14"/>
        <w:szCs w:val="14"/>
      </w:rPr>
      <w:t>Page 1 of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6A212" w14:textId="77777777" w:rsidR="00823EB0" w:rsidRDefault="00823EB0" w:rsidP="008B45F5">
      <w:pPr>
        <w:spacing w:after="0" w:line="240" w:lineRule="auto"/>
      </w:pPr>
      <w:r>
        <w:separator/>
      </w:r>
    </w:p>
  </w:footnote>
  <w:footnote w:type="continuationSeparator" w:id="0">
    <w:p w14:paraId="5B6413E7" w14:textId="77777777" w:rsidR="00823EB0" w:rsidRDefault="00823EB0" w:rsidP="008B4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79D2E" w14:textId="74D3C95F" w:rsidR="00221CC9" w:rsidRPr="00B9659F" w:rsidRDefault="00221CC9" w:rsidP="00221CC9">
    <w:pPr>
      <w:pStyle w:val="Footer"/>
      <w:jc w:val="center"/>
      <w:rPr>
        <w:rFonts w:ascii="Verdana" w:hAnsi="Verdana"/>
        <w:b/>
        <w:sz w:val="14"/>
        <w:szCs w:val="14"/>
      </w:rPr>
    </w:pPr>
    <w:r w:rsidRPr="00F145BE">
      <w:rPr>
        <w:rFonts w:ascii="Verdana" w:hAnsi="Verdana"/>
        <w:b/>
        <w:sz w:val="14"/>
        <w:szCs w:val="14"/>
      </w:rPr>
      <w:t>Single P</w:t>
    </w:r>
    <w:r>
      <w:rPr>
        <w:rFonts w:ascii="Verdana" w:hAnsi="Verdana"/>
        <w:b/>
        <w:sz w:val="14"/>
        <w:szCs w:val="14"/>
      </w:rPr>
      <w:t xml:space="preserve">ublic Service Pension </w:t>
    </w:r>
    <w:proofErr w:type="gramStart"/>
    <w:r>
      <w:rPr>
        <w:rFonts w:ascii="Verdana" w:hAnsi="Verdana"/>
        <w:b/>
        <w:sz w:val="14"/>
        <w:szCs w:val="14"/>
      </w:rPr>
      <w:t>Scheme  |</w:t>
    </w:r>
    <w:proofErr w:type="gramEnd"/>
    <w:r w:rsidRPr="00F145BE">
      <w:rPr>
        <w:rFonts w:ascii="Verdana" w:hAnsi="Verdana"/>
        <w:b/>
        <w:sz w:val="14"/>
        <w:szCs w:val="14"/>
      </w:rPr>
      <w:t xml:space="preserve">  </w:t>
    </w:r>
    <w:r>
      <w:rPr>
        <w:rFonts w:ascii="Verdana" w:hAnsi="Verdana"/>
        <w:b/>
        <w:sz w:val="14"/>
        <w:szCs w:val="14"/>
      </w:rPr>
      <w:t xml:space="preserve">Purchase and </w:t>
    </w:r>
    <w:r>
      <w:rPr>
        <w:rFonts w:ascii="Verdana" w:hAnsi="Verdana"/>
        <w:b/>
        <w:color w:val="0070C0"/>
        <w:sz w:val="14"/>
        <w:szCs w:val="14"/>
      </w:rPr>
      <w:t>Transfer – Transfer Value Quotation Template Letter</w:t>
    </w:r>
  </w:p>
  <w:p w14:paraId="20007E8F" w14:textId="65E8F0C5" w:rsidR="00CF1677" w:rsidRDefault="00221CC9" w:rsidP="00221CC9">
    <w:pPr>
      <w:pStyle w:val="Header"/>
      <w:tabs>
        <w:tab w:val="clear" w:pos="4513"/>
        <w:tab w:val="clear" w:pos="9026"/>
        <w:tab w:val="left" w:pos="359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B0D84"/>
    <w:multiLevelType w:val="hybridMultilevel"/>
    <w:tmpl w:val="87B48F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D07DD"/>
    <w:multiLevelType w:val="hybridMultilevel"/>
    <w:tmpl w:val="A178085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9444C"/>
    <w:multiLevelType w:val="hybridMultilevel"/>
    <w:tmpl w:val="64E080DE"/>
    <w:lvl w:ilvl="0" w:tplc="568E04FC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C32702"/>
    <w:multiLevelType w:val="hybridMultilevel"/>
    <w:tmpl w:val="241EEA64"/>
    <w:lvl w:ilvl="0" w:tplc="BDE456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F5"/>
    <w:rsid w:val="00133818"/>
    <w:rsid w:val="00134595"/>
    <w:rsid w:val="0013722D"/>
    <w:rsid w:val="00182F7D"/>
    <w:rsid w:val="00183DA0"/>
    <w:rsid w:val="001E28EC"/>
    <w:rsid w:val="00221CC9"/>
    <w:rsid w:val="00235A01"/>
    <w:rsid w:val="00253C23"/>
    <w:rsid w:val="00256975"/>
    <w:rsid w:val="002933D9"/>
    <w:rsid w:val="002C7850"/>
    <w:rsid w:val="002D176F"/>
    <w:rsid w:val="00310FB0"/>
    <w:rsid w:val="00315378"/>
    <w:rsid w:val="003C6471"/>
    <w:rsid w:val="00462A84"/>
    <w:rsid w:val="004656DD"/>
    <w:rsid w:val="004D48B4"/>
    <w:rsid w:val="00552251"/>
    <w:rsid w:val="00561132"/>
    <w:rsid w:val="00615E19"/>
    <w:rsid w:val="006220B2"/>
    <w:rsid w:val="006356D8"/>
    <w:rsid w:val="00695A23"/>
    <w:rsid w:val="006D31CA"/>
    <w:rsid w:val="006D4EE6"/>
    <w:rsid w:val="006F080A"/>
    <w:rsid w:val="006F1A8A"/>
    <w:rsid w:val="007175C8"/>
    <w:rsid w:val="00745921"/>
    <w:rsid w:val="00774508"/>
    <w:rsid w:val="007959A9"/>
    <w:rsid w:val="00801679"/>
    <w:rsid w:val="0081015E"/>
    <w:rsid w:val="00813A2D"/>
    <w:rsid w:val="00823EB0"/>
    <w:rsid w:val="00846FD4"/>
    <w:rsid w:val="00865179"/>
    <w:rsid w:val="00890CCF"/>
    <w:rsid w:val="008B45F5"/>
    <w:rsid w:val="008D2B0A"/>
    <w:rsid w:val="00943FC5"/>
    <w:rsid w:val="0094619E"/>
    <w:rsid w:val="009C76C6"/>
    <w:rsid w:val="009E187D"/>
    <w:rsid w:val="009E7DD8"/>
    <w:rsid w:val="00A2401E"/>
    <w:rsid w:val="00A6616F"/>
    <w:rsid w:val="00A70BB4"/>
    <w:rsid w:val="00AC03FC"/>
    <w:rsid w:val="00B46D93"/>
    <w:rsid w:val="00BD5049"/>
    <w:rsid w:val="00BF51F3"/>
    <w:rsid w:val="00C04477"/>
    <w:rsid w:val="00C41549"/>
    <w:rsid w:val="00CC30F7"/>
    <w:rsid w:val="00D8674A"/>
    <w:rsid w:val="00DB7B55"/>
    <w:rsid w:val="00DC764D"/>
    <w:rsid w:val="00EA6583"/>
    <w:rsid w:val="00FC2330"/>
    <w:rsid w:val="00FC6C94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DAF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theme="minorBidi"/>
        <w:sz w:val="22"/>
        <w:szCs w:val="22"/>
        <w:lang w:val="en-I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45F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4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F5"/>
  </w:style>
  <w:style w:type="paragraph" w:styleId="Footer">
    <w:name w:val="footer"/>
    <w:basedOn w:val="Normal"/>
    <w:link w:val="FooterChar"/>
    <w:uiPriority w:val="99"/>
    <w:unhideWhenUsed/>
    <w:rsid w:val="008B4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F5"/>
  </w:style>
  <w:style w:type="paragraph" w:styleId="BalloonText">
    <w:name w:val="Balloon Text"/>
    <w:basedOn w:val="Normal"/>
    <w:link w:val="BalloonTextChar"/>
    <w:uiPriority w:val="99"/>
    <w:semiHidden/>
    <w:unhideWhenUsed/>
    <w:rsid w:val="00315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37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5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singlepensionscheme.ie/circular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B3C192B0594574680B21772862E5A7E" ma:contentTypeVersion="11" ma:contentTypeDescription="Create a new document for eDocs" ma:contentTypeScope="" ma:versionID="68cf7a6db5d6ed430a574bdc6c26363b">
  <xsd:schema xmlns:xsd="http://www.w3.org/2001/XMLSchema" xmlns:xs="http://www.w3.org/2001/XMLSchema" xmlns:p="http://schemas.microsoft.com/office/2006/metadata/properties" xmlns:ns1="http://schemas.microsoft.com/sharepoint/v3" xmlns:ns2="85924315-91a4-49fb-9d85-3d0570ea240f" xmlns:ns3="dc861b6b-5d3a-432d-ad99-86d69ed9a572" xmlns:ns4="http://schemas.microsoft.com/sharepoint/v4" targetNamespace="http://schemas.microsoft.com/office/2006/metadata/properties" ma:root="true" ma:fieldsID="1b25ebf1713625110e846dcb7730e893" ns1:_="" ns2:_="" ns3:_="" ns4:_="">
    <xsd:import namespace="http://schemas.microsoft.com/sharepoint/v3"/>
    <xsd:import namespace="85924315-91a4-49fb-9d85-3d0570ea240f"/>
    <xsd:import namespace="dc861b6b-5d3a-432d-ad99-86d69ed9a57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FileTopicsTaxHTField0" minOccurs="0"/>
                <xsd:element ref="ns1:eDocs_FileName" minOccurs="0"/>
                <xsd:element ref="ns2:eDocs_YearTaxHTField0" minOccurs="0"/>
                <xsd:element ref="ns1:eDocs_FileStatus"/>
                <xsd:element ref="ns1:eDocs_SecurityLevel" minOccurs="0"/>
                <xsd:element ref="ns4:IconOverlay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hidden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20"/>
        </xsd:restriction>
      </xsd:simpleType>
    </xsd:element>
    <xsd:element name="eDocs_FileStatus" ma:index="22" ma:displayName="Status" ma:default="Live" ma:description="Current Status of the File. This is set to Live, Archived or sent to National Archives" ma:format="Dropdown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SecurityLevel" ma:index="23" nillable="true" ma:displayName="Security Level" ma:default="Unclassified" ma:description="Security Level" ma:format="Dropdown" ma:internalName="eDocs_SecurityLevel">
      <xsd:simpleType>
        <xsd:restriction base="dms:Choice">
          <xsd:enumeration value="Secret"/>
          <xsd:enumeration value="Restricted"/>
          <xsd:enumeration value="Unclassified"/>
        </xsd:restriction>
      </xsd:simpleType>
    </xsd:element>
    <xsd:element name="_vti_ItemHoldRecordStatus" ma:index="2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24315-91a4-49fb-9d85-3d0570ea240f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a884c329-9700-4098-a486-1886abab1910" ma:termSetId="584d92f5-f104-4db4-9eaa-0d5facccd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17" nillable="true" ma:taxonomy="true" ma:internalName="eDocs_FileTopicsTaxHTField0" ma:taxonomyFieldName="eDocs_FileTopics" ma:displayName="File Topics" ma:default="" ma:fieldId="{602c691f-3efa-402d-ab5c-baa8c240a9e7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20" nillable="true" ma:taxonomy="true" ma:internalName="eDocs_YearTaxHTField0" ma:taxonomyFieldName="eDocs_Year" ma:displayName="Year" ma:indexed="true" ma:fieldId="{7b1b8a72-8553-41e1-8dd7-5ce464e281f2}" ma:sspId="a884c329-9700-4098-a486-1886abab1910" ma:termSetId="6b2a013c-fe8b-4805-9242-a33f2487be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61b6b-5d3a-432d-ad99-86d69ed9a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9b7eeb-fdad-4a3a-ad40-33958c8c3a92}" ma:internalName="TaxCatchAll" ma:showField="CatchAllData" ma:web="dc861b6b-5d3a-432d-ad99-86d69ed9a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118</TermName>
          <TermId xmlns="http://schemas.microsoft.com/office/infopath/2007/PartnerControls">04ac385e-727d-4436-b5d2-d2dc607c9794</TermId>
        </TermInfo>
      </Terms>
    </eDocs_SeriesSubSeriesTaxHTField0>
    <eDocs_FileStatus xmlns="http://schemas.microsoft.com/sharepoint/v3">Live</eDocs_FileStatus>
    <eDocs_FileTopic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Single Scheme</TermName>
          <TermId xmlns="http://schemas.microsoft.com/office/infopath/2007/PartnerControls">dca71319-bcbb-441b-a8d4-b55b14b60a9f</TermId>
        </TermInfo>
      </Terms>
    </eDocs_FileTopicsTaxHTField0>
    <eDocs_FileName xmlns="http://schemas.microsoft.com/sharepoint/v3">DPE118-002-2017</eDocs_FileName>
    <eDocs_SecurityLevel xmlns="http://schemas.microsoft.com/sharepoint/v3">Unclassified</eDocs_SecurityLevel>
    <TaxCatchAll xmlns="dc861b6b-5d3a-432d-ad99-86d69ed9a572">
      <Value>6</Value>
      <Value>29</Value>
      <Value>1</Value>
    </TaxCatchAll>
    <eDocs_DocumentTopicsTaxHTField0 xmlns="85924315-91a4-49fb-9d85-3d0570ea240f">
      <Terms xmlns="http://schemas.microsoft.com/office/infopath/2007/PartnerControls"/>
    </eDocs_DocumentTopicsTaxHTField0>
    <_dlc_ExpireDateSaved xmlns="http://schemas.microsoft.com/sharepoint/v3" xsi:nil="true"/>
    <_dlc_ExpireDate xmlns="http://schemas.microsoft.com/sharepoint/v3">2019-12-16T12:18:01+00:00</_dlc_ExpireDate>
    <eDocs_Year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69904def-95f0-47db-a6de-0e6cfeda3d28</TermId>
        </TermInfo>
      </Terms>
    </eDocs_YearTaxHTField0>
    <IconOverlay xmlns="http://schemas.microsoft.com/sharepoint/v4" xsi:nil="true"/>
  </documentManagement>
</p:properties>
</file>

<file path=customXml/item3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e5b486ac-7790-433a-ba1f-5de012621dcc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5.xml><?xml version="1.0" encoding="utf-8"?>
<?mso-contentType ?>
<PolicyDirtyBag xmlns="microsoft.office.server.policy.changes">
  <Microsoft.Office.RecordsManagement.PolicyFeatures.Expiration op="Change"/>
</PolicyDirtyBag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800C65-7794-430F-AE0E-37B21966A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5924315-91a4-49fb-9d85-3d0570ea240f"/>
    <ds:schemaRef ds:uri="dc861b6b-5d3a-432d-ad99-86d69ed9a57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D8B7DF-64B0-42BD-B82E-ACC68C76BB55}">
  <ds:schemaRefs>
    <ds:schemaRef ds:uri="http://schemas.microsoft.com/office/2006/metadata/properties"/>
    <ds:schemaRef ds:uri="http://schemas.microsoft.com/office/infopath/2007/PartnerControls"/>
    <ds:schemaRef ds:uri="85924315-91a4-49fb-9d85-3d0570ea240f"/>
    <ds:schemaRef ds:uri="http://schemas.microsoft.com/sharepoint/v3"/>
    <ds:schemaRef ds:uri="dc861b6b-5d3a-432d-ad99-86d69ed9a572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E50849F2-51E6-48F3-BF2E-E46F08C8691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A890510-C36E-478E-8ACB-673FBB44D03E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00B5687F-E850-443E-A030-7B751823423C}">
  <ds:schemaRefs>
    <ds:schemaRef ds:uri="microsoft.office.server.policy.changes"/>
  </ds:schemaRefs>
</ds:datastoreItem>
</file>

<file path=customXml/itemProps6.xml><?xml version="1.0" encoding="utf-8"?>
<ds:datastoreItem xmlns:ds="http://schemas.openxmlformats.org/officeDocument/2006/customXml" ds:itemID="{194C92AC-A218-478A-8C38-5A145FC0CF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2019-08-20T13:21:00Z</dcterms:created>
  <dcterms:modified xsi:type="dcterms:W3CDTF">2019-10-04T14:52:00Z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0x0101000BC94875665D404BB1351B53C41FD2C0|151133126</vt:lpwstr>
  </property>
  <property fmtid="{D5CDD505-2E9C-101B-9397-08002B2CF9AE}" pid="3" name="ContentTypeId">
    <vt:lpwstr>0x0101000BC94875665D404BB1351B53C41FD2C0008B3C192B0594574680B21772862E5A7E</vt:lpwstr>
  </property>
  <property fmtid="{D5CDD505-2E9C-101B-9397-08002B2CF9AE}" pid="4" name="eDocs_Year">
    <vt:lpwstr>29;#2017|69904def-95f0-47db-a6de-0e6cfeda3d28</vt:lpwstr>
  </property>
  <property fmtid="{D5CDD505-2E9C-101B-9397-08002B2CF9AE}" pid="5" name="eDocs_SeriesSubSeries">
    <vt:lpwstr>1;#118|04ac385e-727d-4436-b5d2-d2dc607c9794</vt:lpwstr>
  </property>
  <property fmtid="{D5CDD505-2E9C-101B-9397-08002B2CF9AE}" pid="6" name="eDocs_FileTopics">
    <vt:lpwstr>6;#Single Scheme|dca71319-bcbb-441b-a8d4-b55b14b60a9f</vt:lpwstr>
  </property>
  <property fmtid="{D5CDD505-2E9C-101B-9397-08002B2CF9AE}" pid="7" name="eDocs_DocumentTopics">
    <vt:lpwstr/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